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Citrus tristeza virus (European isolates) (Citrus tristeza virus) CTV000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Reliable detection and identification tests are available. However, European isolates cannot be discriminated from non-European ones on the basis of their molecular properties. A combination of biological, molecular and, possibly, serological data are needed for a conclusive characterisation of the genetic and pathogenic features of a CTV isolate (EU COM, 2016).</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(2009); Cyprus (2014); Greece (2014); Greece/Kriti (2012); Italy (2014); Italy/Sicilia (2016); Portugal (2013); Portugal/Madeira (1998);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Non-European isolates are regulated in Annex IIAI of the plant health Directive 2000/29/EC. Data of the presence of this pest on the EU territory are available in EPPO Global Database (</w:t>
      </w:r>
      <w:hyperlink r:id="rId24666a8d0bf97048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hybrids (PMIHY)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except for strains qualifying for the quarantine status, if it is possible depending on the tests available to do such a distinction.</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and/or testing.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tested within the previous 3 years and found free from Citrus tristeza virus;</w:t>
      </w:r>
      <w:r>
        <w:rPr>
          <w:color w:val="0200C9"/>
          <w:sz w:val="24"/>
          <w:szCs w:val="24"/>
        </w:rPr>
        <w:br/>
        <w:t xml:space="preserve">AND</w:t>
      </w:r>
      <w:r>
        <w:rPr>
          <w:color w:val="0200C9"/>
          <w:sz w:val="24"/>
          <w:szCs w:val="24"/>
        </w:rPr>
        <w:br/>
        <w:t xml:space="preserve">(B) (a) Plants produced in areas known to be free from Citrus tristeza virus;</w:t>
      </w:r>
      <w:r>
        <w:rPr>
          <w:color w:val="0200C9"/>
          <w:sz w:val="24"/>
          <w:szCs w:val="24"/>
        </w:rPr>
        <w:br/>
        <w:t xml:space="preserve">or</w:t>
      </w:r>
      <w:r>
        <w:rPr>
          <w:color w:val="0200C9"/>
          <w:sz w:val="24"/>
          <w:szCs w:val="24"/>
        </w:rPr>
        <w:br/>
        <w:t xml:space="preserve">(b) Site of production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(c) Site of production under physical protection from vectors, and found free from Citrus tristeza virus over the last complete growing season by testing of a representative sample of the plants at the appropriate time;</w:t>
      </w:r>
      <w:r>
        <w:rPr>
          <w:color w:val="0200C9"/>
          <w:sz w:val="24"/>
          <w:szCs w:val="24"/>
        </w:rPr>
        <w:br/>
        <w:t xml:space="preserve">or</w:t>
      </w:r>
      <w:r>
        <w:rPr>
          <w:color w:val="0200C9"/>
          <w:sz w:val="24"/>
          <w:szCs w:val="24"/>
        </w:rPr>
        <w:br/>
        <w:t xml:space="preserve">(d) [in cases where there is a positive test result in a lot] All plants have been tested individually and no more than 2% of those plants were found positive, the plants tested positive have been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Measures to control the vector or reduce transmission;</w:t>
      </w:r>
      <w:r>
        <w:rPr>
          <w:color w:val="0200C9"/>
          <w:sz w:val="24"/>
          <w:szCs w:val="24"/>
        </w:rPr>
        <w:br/>
        <w:t xml:space="preserve">• Physical protection of mother plants;</w:t>
      </w:r>
      <w:r>
        <w:rPr>
          <w:color w:val="0200C9"/>
          <w:sz w:val="24"/>
          <w:szCs w:val="24"/>
        </w:rPr>
        <w:br/>
        <w:t xml:space="preserve">• Testing of mother plants.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Visual examination was not considered as being sufficient for this pest. Options (b) and (c) are very similar but the sampling intensity may be different. The fruit SEWG gave the indication of a minimum testing of 0,1% of the plants for an outdoor site of production and 0,05% of the plants under physical protection from vectors. However the coreHEWGplus recommended using 'a representative sample' rather than a specific percentage that should depend on the confidence level and the size of the sample (see ISPM 31).</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Citrus tristeza virus. EFSA Journal 2014;12(12):3923, 32 pp. doi:10.2903/j.efsa.2014.3923 </w:t>
      </w:r>
      <w:hyperlink r:id="rId25986a8d0bf9709a7" w:history="1">
        <w:r>
          <w:rPr>
            <w:color w:val="0200C9"/>
            <w:sz w:val="24"/>
            <w:szCs w:val="24"/>
          </w:rPr>
          <w:t xml:space="preserve">http://www.efsa.europa.eu/en/efsajournal/doc/3923.pdf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Citrus tristeza virus (European isolates);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711321">
    <w:multiLevelType w:val="hybridMultilevel"/>
    <w:lvl w:ilvl="0" w:tplc="25906382">
      <w:start w:val="1"/>
      <w:numFmt w:val="decimal"/>
      <w:lvlText w:val="%1."/>
      <w:lvlJc w:val="left"/>
      <w:pPr>
        <w:ind w:left="720" w:hanging="360"/>
      </w:pPr>
    </w:lvl>
    <w:lvl w:ilvl="1" w:tplc="25906382" w:tentative="1">
      <w:start w:val="1"/>
      <w:numFmt w:val="lowerLetter"/>
      <w:lvlText w:val="%2."/>
      <w:lvlJc w:val="left"/>
      <w:pPr>
        <w:ind w:left="1440" w:hanging="360"/>
      </w:pPr>
    </w:lvl>
    <w:lvl w:ilvl="2" w:tplc="25906382" w:tentative="1">
      <w:start w:val="1"/>
      <w:numFmt w:val="lowerRoman"/>
      <w:lvlText w:val="%3."/>
      <w:lvlJc w:val="right"/>
      <w:pPr>
        <w:ind w:left="2160" w:hanging="180"/>
      </w:pPr>
    </w:lvl>
    <w:lvl w:ilvl="3" w:tplc="25906382" w:tentative="1">
      <w:start w:val="1"/>
      <w:numFmt w:val="decimal"/>
      <w:lvlText w:val="%4."/>
      <w:lvlJc w:val="left"/>
      <w:pPr>
        <w:ind w:left="2880" w:hanging="360"/>
      </w:pPr>
    </w:lvl>
    <w:lvl w:ilvl="4" w:tplc="25906382" w:tentative="1">
      <w:start w:val="1"/>
      <w:numFmt w:val="lowerLetter"/>
      <w:lvlText w:val="%5."/>
      <w:lvlJc w:val="left"/>
      <w:pPr>
        <w:ind w:left="3600" w:hanging="360"/>
      </w:pPr>
    </w:lvl>
    <w:lvl w:ilvl="5" w:tplc="25906382" w:tentative="1">
      <w:start w:val="1"/>
      <w:numFmt w:val="lowerRoman"/>
      <w:lvlText w:val="%6."/>
      <w:lvlJc w:val="right"/>
      <w:pPr>
        <w:ind w:left="4320" w:hanging="180"/>
      </w:pPr>
    </w:lvl>
    <w:lvl w:ilvl="6" w:tplc="25906382" w:tentative="1">
      <w:start w:val="1"/>
      <w:numFmt w:val="decimal"/>
      <w:lvlText w:val="%7."/>
      <w:lvlJc w:val="left"/>
      <w:pPr>
        <w:ind w:left="5040" w:hanging="360"/>
      </w:pPr>
    </w:lvl>
    <w:lvl w:ilvl="7" w:tplc="25906382" w:tentative="1">
      <w:start w:val="1"/>
      <w:numFmt w:val="lowerLetter"/>
      <w:lvlText w:val="%8."/>
      <w:lvlJc w:val="left"/>
      <w:pPr>
        <w:ind w:left="5760" w:hanging="360"/>
      </w:pPr>
    </w:lvl>
    <w:lvl w:ilvl="8" w:tplc="25906382" w:tentative="1">
      <w:start w:val="1"/>
      <w:numFmt w:val="lowerRoman"/>
      <w:lvlText w:val="%9."/>
      <w:lvlJc w:val="right"/>
      <w:pPr>
        <w:ind w:left="6480" w:hanging="180"/>
      </w:pPr>
    </w:lvl>
  </w:abstractNum>
  <w:abstractNum w:abstractNumId="22711320">
    <w:multiLevelType w:val="hybridMultilevel"/>
    <w:lvl w:ilvl="0" w:tplc="585575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711320">
    <w:abstractNumId w:val="22711320"/>
  </w:num>
  <w:num w:numId="22711321">
    <w:abstractNumId w:val="227113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7244797" Type="http://schemas.microsoft.com/office/2011/relationships/commentsExtended" Target="commentsExtended.xml"/><Relationship Id="rId24666a8d0bf970483" Type="http://schemas.openxmlformats.org/officeDocument/2006/relationships/hyperlink" Target="https://gd.eppo.int/" TargetMode="External"/><Relationship Id="rId25986a8d0bf9709a7" Type="http://schemas.openxmlformats.org/officeDocument/2006/relationships/hyperlink" Target="http://www.efsa.europa.eu/en/efsajournal/doc/3923.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