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Citrus tristeza virus (European isolates) (Citrus tristeza virus) CTV000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Reliable detection and identification tests are available. However, European isolates cannot be discriminated from non-European ones on the basis of their molecular properties. A combination of biological, molecular and, possibly, serological data are needed for a conclusive characterisation of the genetic and pathogenic features of a CTV isolate (EU COM, 2016).</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(2009); Cyprus (2014); Greece (2014); Greece/Kriti (2012); Italy (2014); Italy/Sicilia (2016); Portugal (2013); Portugal/Madeira (1998);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Non-European isolates are regulated in Annex IIAI of the plant health Directive 2000/29/EC. Data of the presence of this pest on the EU territory are available in EPPO Global Database (</w:t>
      </w:r>
      <w:hyperlink r:id="rId92036a66da680e00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Poncirus (1PMIG)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Measures to control the vector or reduce transmission;</w:t>
      </w:r>
      <w:r>
        <w:rPr>
          <w:color w:val="0200C9"/>
          <w:sz w:val="24"/>
          <w:szCs w:val="24"/>
        </w:rPr>
        <w:br/>
        <w:t xml:space="preserve">• Physical protection of mother plants;</w:t>
      </w:r>
      <w:r>
        <w:rPr>
          <w:color w:val="0200C9"/>
          <w:sz w:val="24"/>
          <w:szCs w:val="24"/>
        </w:rPr>
        <w:br/>
        <w:t xml:space="preserve">• Testing of mother plants.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39176a66da6811356"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983019">
    <w:multiLevelType w:val="hybridMultilevel"/>
    <w:lvl w:ilvl="0" w:tplc="21892655">
      <w:start w:val="1"/>
      <w:numFmt w:val="decimal"/>
      <w:lvlText w:val="%1."/>
      <w:lvlJc w:val="left"/>
      <w:pPr>
        <w:ind w:left="720" w:hanging="360"/>
      </w:pPr>
    </w:lvl>
    <w:lvl w:ilvl="1" w:tplc="21892655" w:tentative="1">
      <w:start w:val="1"/>
      <w:numFmt w:val="lowerLetter"/>
      <w:lvlText w:val="%2."/>
      <w:lvlJc w:val="left"/>
      <w:pPr>
        <w:ind w:left="1440" w:hanging="360"/>
      </w:pPr>
    </w:lvl>
    <w:lvl w:ilvl="2" w:tplc="21892655" w:tentative="1">
      <w:start w:val="1"/>
      <w:numFmt w:val="lowerRoman"/>
      <w:lvlText w:val="%3."/>
      <w:lvlJc w:val="right"/>
      <w:pPr>
        <w:ind w:left="2160" w:hanging="180"/>
      </w:pPr>
    </w:lvl>
    <w:lvl w:ilvl="3" w:tplc="21892655" w:tentative="1">
      <w:start w:val="1"/>
      <w:numFmt w:val="decimal"/>
      <w:lvlText w:val="%4."/>
      <w:lvlJc w:val="left"/>
      <w:pPr>
        <w:ind w:left="2880" w:hanging="360"/>
      </w:pPr>
    </w:lvl>
    <w:lvl w:ilvl="4" w:tplc="21892655" w:tentative="1">
      <w:start w:val="1"/>
      <w:numFmt w:val="lowerLetter"/>
      <w:lvlText w:val="%5."/>
      <w:lvlJc w:val="left"/>
      <w:pPr>
        <w:ind w:left="3600" w:hanging="360"/>
      </w:pPr>
    </w:lvl>
    <w:lvl w:ilvl="5" w:tplc="21892655" w:tentative="1">
      <w:start w:val="1"/>
      <w:numFmt w:val="lowerRoman"/>
      <w:lvlText w:val="%6."/>
      <w:lvlJc w:val="right"/>
      <w:pPr>
        <w:ind w:left="4320" w:hanging="180"/>
      </w:pPr>
    </w:lvl>
    <w:lvl w:ilvl="6" w:tplc="21892655" w:tentative="1">
      <w:start w:val="1"/>
      <w:numFmt w:val="decimal"/>
      <w:lvlText w:val="%7."/>
      <w:lvlJc w:val="left"/>
      <w:pPr>
        <w:ind w:left="5040" w:hanging="360"/>
      </w:pPr>
    </w:lvl>
    <w:lvl w:ilvl="7" w:tplc="21892655" w:tentative="1">
      <w:start w:val="1"/>
      <w:numFmt w:val="lowerLetter"/>
      <w:lvlText w:val="%8."/>
      <w:lvlJc w:val="left"/>
      <w:pPr>
        <w:ind w:left="5760" w:hanging="360"/>
      </w:pPr>
    </w:lvl>
    <w:lvl w:ilvl="8" w:tplc="21892655" w:tentative="1">
      <w:start w:val="1"/>
      <w:numFmt w:val="lowerRoman"/>
      <w:lvlText w:val="%9."/>
      <w:lvlJc w:val="right"/>
      <w:pPr>
        <w:ind w:left="6480" w:hanging="180"/>
      </w:pPr>
    </w:lvl>
  </w:abstractNum>
  <w:abstractNum w:abstractNumId="22983018">
    <w:multiLevelType w:val="hybridMultilevel"/>
    <w:lvl w:ilvl="0" w:tplc="997126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983018">
    <w:abstractNumId w:val="22983018"/>
  </w:num>
  <w:num w:numId="22983019">
    <w:abstractNumId w:val="229830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0563533" Type="http://schemas.microsoft.com/office/2011/relationships/commentsExtended" Target="commentsExtended.xml"/><Relationship Id="rId92036a66da680e007" Type="http://schemas.openxmlformats.org/officeDocument/2006/relationships/hyperlink" Target="https://gd.eppo.int/" TargetMode="External"/><Relationship Id="rId39176a66da6811356" Type="http://schemas.openxmlformats.org/officeDocument/2006/relationships/hyperlink" Target="http://www.efsa.europa.eu/en/efsajournal/doc/3923.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