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Citrus tristeza virus (European isolates) (Citrus tristeza virus) CTV000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Reliable detection and identification tests are available. However, European isolates cannot be discriminated from non-European ones on the basis of their molecular properties. A combination of biological, molecular and, possibly, serological data are needed for a conclusive characterisation of the genetic and pathogenic features of a CTV isolate (EU COM, 2016).</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Croatia (2009); Cyprus (2014); Greece (2014); Greece/Kriti (2012); Italy (2014); Italy/Sicilia (2016); Portugal (2013); Portugal/Madeira (1998); Spain (2011)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66366a405e9b2bdfe" w:history="1">
        <w:r>
          <w:rPr>
            <w:color w:val="0200C9"/>
            <w:sz w:val="24"/>
            <w:szCs w:val="24"/>
          </w:rPr>
          <w:t xml:space="preserve">https://gd.eppo.int/</w:t>
        </w:r>
      </w:hyperlink>
      <w:r>
        <w:rPr>
          <w:color w:val="0200C9"/>
          <w:sz w:val="24"/>
          <w:szCs w:val="24"/>
        </w:rPr>
        <w:t xml:space="preserve">). This pest is a candidate for the RNQP status according to the IIA2AWG</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Fortunella (1FOLG)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The interest in Citrus and related genera as ornamental plants has increased in recent years, and many varieties and hybrids are suitable for this purpose. The EPPO PM 4/12 Standard for Citrus includes all species of Citrus, Poncirus, Fortunella and their hybrids, so it is assumed it can be recommended for the RNQP status for ornamental use based on the EPPO PM 4 Standard, and so this analysis does not need to continue.</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Hybrids (genera/species not given) suitable for ornamental use were tested and found to vary between resistant to highly intolerant to CTV in Brazil (Santos et al., 2016). In Sicily, ornamental citrus (types not stated) was also infected up to 3.28% by CTV (Riolo et al., 2009). An area of uncertainty concerns the extremely limited information available on the prevalence and biological properties of CTV isolates that may be present in ornamental citrus such as kumquats (Fortunella sp.) and calamondin (Citrofortunella microcarpa) in Europe (EFSA-PLH, 2014). Therefore concluded they would react to the pathogen in a similar way as to fruiting Citrus.</w:t>
      </w:r>
      <w:r>
        <w:rPr>
          <w:color w:val="0200C9"/>
          <w:sz w:val="24"/>
          <w:szCs w:val="24"/>
        </w:rPr>
        <w:br/>
        <w:t xml:space="preserve">Citrus plants are widely grown in Europe as ornamental species, either in the open-field or under protected cultivation. Several isolates of CTV are already present and established in most EU MSs where citrus plants are grown; the area of potential CTV distribution coincides with areas of citrus cultivation in the EU.</w:t>
      </w:r>
      <w:r>
        <w:rPr>
          <w:color w:val="0200C9"/>
          <w:sz w:val="24"/>
          <w:szCs w:val="24"/>
        </w:rPr>
        <w:br/>
        <w:t xml:space="preserve">CTV is transmitted by vectors, T. citricida is localised but the other known CTV vectors, A. spiraecola, T. aurantii and A gossypii, are present in Europe and A. gossypii, the second most efficient vector, is widespread. The efficiency by which CTV isolates are transmitted by A. gossypii varies with the particular virus isolate, but is generally greater than 50 % and thus, with its high population sizes, A. gossypii plays a major role in epidemics of CTV in Spain and across Europe. Spread of CTV in orchards can be rapid. Overall, and with minimal uncertainty, aphid vectors, with the potential to contribute to CTV spread, can be considered to be widely available in the EU (EFSA-PLH,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European isolates of CTV have the potential to cause very significant impact in the European citrus industries relying on sour orange rootstocks. However CTV-tolerant rootstocks are available and the impact is currently very limited in Spain for which the whole industry has replaced sour orange with CTV-tolerant rootstocks. Impacts in ornamental citrus are not clear. Whether these rootstock are suitable for ornamental citrus is not known/stated. Kumquats and some other citrus species, such as calamondin, are cultivated mainly as ornamental trees and have a more limited commercial importance (EFSA-PLH, 2014).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EPPO PM 4 Standard, except for strains qualifying for the quarantine status, if it is possible depending on the tests available to do such a distinction.</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and/or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Derived from mother plants which have been tested within the previous 3 years and found free from Citrus tristeza virus;</w:t>
      </w:r>
      <w:r>
        <w:rPr>
          <w:color w:val="0200C9"/>
          <w:sz w:val="24"/>
          <w:szCs w:val="24"/>
        </w:rPr>
        <w:br/>
        <w:t xml:space="preserve">AND</w:t>
      </w:r>
      <w:r>
        <w:rPr>
          <w:color w:val="0200C9"/>
          <w:sz w:val="24"/>
          <w:szCs w:val="24"/>
        </w:rPr>
        <w:br/>
        <w:t xml:space="preserve">(B) (a) Plants produced in areas known to be free from Citrus tristeza virus;</w:t>
      </w:r>
      <w:r>
        <w:rPr>
          <w:color w:val="0200C9"/>
          <w:sz w:val="24"/>
          <w:szCs w:val="24"/>
        </w:rPr>
        <w:br/>
        <w:t xml:space="preserve">or</w:t>
      </w:r>
      <w:r>
        <w:rPr>
          <w:color w:val="0200C9"/>
          <w:sz w:val="24"/>
          <w:szCs w:val="24"/>
        </w:rPr>
        <w:br/>
        <w:t xml:space="preserve">(b) Site of production found free from Citrus tristeza virus over the last complete growing season by testing of a representative sample of the plants at the appropriate time;</w:t>
      </w:r>
      <w:r>
        <w:rPr>
          <w:color w:val="0200C9"/>
          <w:sz w:val="24"/>
          <w:szCs w:val="24"/>
        </w:rPr>
        <w:br/>
        <w:t xml:space="preserve">or</w:t>
      </w:r>
      <w:r>
        <w:rPr>
          <w:color w:val="0200C9"/>
          <w:sz w:val="24"/>
          <w:szCs w:val="24"/>
        </w:rPr>
        <w:br/>
        <w:t xml:space="preserve">(c) Site of production under physical protection from vectors, and found free from Citrus tristeza virus over the last complete growing season by testing of a representative sample of the plants at the appropriate time;</w:t>
      </w:r>
      <w:r>
        <w:rPr>
          <w:color w:val="0200C9"/>
          <w:sz w:val="24"/>
          <w:szCs w:val="24"/>
        </w:rPr>
        <w:br/>
        <w:t xml:space="preserve">or</w:t>
      </w:r>
      <w:r>
        <w:rPr>
          <w:color w:val="0200C9"/>
          <w:sz w:val="24"/>
          <w:szCs w:val="24"/>
        </w:rPr>
        <w:br/>
        <w:t xml:space="preserve">(d) [in cases where there is a positive test result in a lot] All plants have been tested individually and no more than 2% of those plants were found positive, the plants tested positive have been rogued out and destroyed immediately.</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considered that risks of cross-contamination with plants produced for fruit production should be taken into consideration. Therefore same measures than for the fruit sector are proposed. Visual examination was not considered as being sufficient for this pest. Options (b) and (c) are very similar but the sampling intensity may be different. The fruit SEWG gave the indication of a minimum testing of 0,1% of the plants for an outdoor site of production and 0,05% of the plants under physical protection from vectors. However the coreHEWGplus recommended using 'a representative sample' rather than a specific percentage that should depend on the confidence level and the size of the sample (see ISPM 31).</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Citrus tristeza virus. EFSA Journal 2014;12(12):3923, 32 pp. doi:10.2903/j.efsa.2014.3923 </w:t>
      </w:r>
      <w:hyperlink r:id="rId13416a405e9b2c340" w:history="1">
        <w:r>
          <w:rPr>
            <w:color w:val="0200C9"/>
            <w:sz w:val="24"/>
            <w:szCs w:val="24"/>
          </w:rPr>
          <w:t xml:space="preserve">http://www.efsa.europa.eu/en/efsajournal/doc/3923.pdf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Citrus tristeza virus (European isolates);</w:t>
      </w:r>
    </w:p>
    <w:p>
      <w:pPr>
        <w:numPr>
          <w:ilvl w:val="0"/>
          <w:numId w:val="1"/>
        </w:numPr>
        <w:spacing w:before="0" w:after="0" w:line="240" w:lineRule="auto"/>
        <w:jc w:val="left"/>
        <w:rPr>
          <w:color w:val="0200C9"/>
          <w:sz w:val="24"/>
          <w:szCs w:val="24"/>
        </w:rPr>
      </w:pPr>
      <w:r>
        <w:rPr>
          <w:color w:val="0200C9"/>
          <w:sz w:val="24"/>
          <w:szCs w:val="24"/>
        </w:rPr>
        <w:t xml:space="preserve">Riolo G, Conti F, Tamburino V, D'Anna R, Cavallaro G, Garozzo M &amp; Ricca G (2009) Tristeza of citrus under control in Sicilian nurseries. Informatore Agrario 65 No.40 pp.49-51;</w:t>
      </w:r>
    </w:p>
    <w:p>
      <w:pPr>
        <w:numPr>
          <w:ilvl w:val="0"/>
          <w:numId w:val="1"/>
        </w:numPr>
        <w:spacing w:before="0" w:after="0" w:line="240" w:lineRule="auto"/>
        <w:jc w:val="left"/>
        <w:rPr>
          <w:color w:val="0200C9"/>
          <w:sz w:val="24"/>
          <w:szCs w:val="24"/>
        </w:rPr>
      </w:pPr>
      <w:r>
        <w:rPr>
          <w:color w:val="0200C9"/>
          <w:sz w:val="24"/>
          <w:szCs w:val="24"/>
        </w:rPr>
        <w:t xml:space="preserve">Santos ARA dos, Souza EH de, Fadini M, Souza FVD, Barbosa C de J, Girardi EA &amp; Soares Filho W dos S (2016) Selection of CTV-tolerant citrus hybrids for ornamental use. Fruits (Paris) 71 No.6 pp.389-398;</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6973829">
    <w:multiLevelType w:val="hybridMultilevel"/>
    <w:lvl w:ilvl="0" w:tplc="95577439">
      <w:start w:val="1"/>
      <w:numFmt w:val="decimal"/>
      <w:lvlText w:val="%1."/>
      <w:lvlJc w:val="left"/>
      <w:pPr>
        <w:ind w:left="720" w:hanging="360"/>
      </w:pPr>
    </w:lvl>
    <w:lvl w:ilvl="1" w:tplc="95577439" w:tentative="1">
      <w:start w:val="1"/>
      <w:numFmt w:val="lowerLetter"/>
      <w:lvlText w:val="%2."/>
      <w:lvlJc w:val="left"/>
      <w:pPr>
        <w:ind w:left="1440" w:hanging="360"/>
      </w:pPr>
    </w:lvl>
    <w:lvl w:ilvl="2" w:tplc="95577439" w:tentative="1">
      <w:start w:val="1"/>
      <w:numFmt w:val="lowerRoman"/>
      <w:lvlText w:val="%3."/>
      <w:lvlJc w:val="right"/>
      <w:pPr>
        <w:ind w:left="2160" w:hanging="180"/>
      </w:pPr>
    </w:lvl>
    <w:lvl w:ilvl="3" w:tplc="95577439" w:tentative="1">
      <w:start w:val="1"/>
      <w:numFmt w:val="decimal"/>
      <w:lvlText w:val="%4."/>
      <w:lvlJc w:val="left"/>
      <w:pPr>
        <w:ind w:left="2880" w:hanging="360"/>
      </w:pPr>
    </w:lvl>
    <w:lvl w:ilvl="4" w:tplc="95577439" w:tentative="1">
      <w:start w:val="1"/>
      <w:numFmt w:val="lowerLetter"/>
      <w:lvlText w:val="%5."/>
      <w:lvlJc w:val="left"/>
      <w:pPr>
        <w:ind w:left="3600" w:hanging="360"/>
      </w:pPr>
    </w:lvl>
    <w:lvl w:ilvl="5" w:tplc="95577439" w:tentative="1">
      <w:start w:val="1"/>
      <w:numFmt w:val="lowerRoman"/>
      <w:lvlText w:val="%6."/>
      <w:lvlJc w:val="right"/>
      <w:pPr>
        <w:ind w:left="4320" w:hanging="180"/>
      </w:pPr>
    </w:lvl>
    <w:lvl w:ilvl="6" w:tplc="95577439" w:tentative="1">
      <w:start w:val="1"/>
      <w:numFmt w:val="decimal"/>
      <w:lvlText w:val="%7."/>
      <w:lvlJc w:val="left"/>
      <w:pPr>
        <w:ind w:left="5040" w:hanging="360"/>
      </w:pPr>
    </w:lvl>
    <w:lvl w:ilvl="7" w:tplc="95577439" w:tentative="1">
      <w:start w:val="1"/>
      <w:numFmt w:val="lowerLetter"/>
      <w:lvlText w:val="%8."/>
      <w:lvlJc w:val="left"/>
      <w:pPr>
        <w:ind w:left="5760" w:hanging="360"/>
      </w:pPr>
    </w:lvl>
    <w:lvl w:ilvl="8" w:tplc="95577439" w:tentative="1">
      <w:start w:val="1"/>
      <w:numFmt w:val="lowerRoman"/>
      <w:lvlText w:val="%9."/>
      <w:lvlJc w:val="right"/>
      <w:pPr>
        <w:ind w:left="6480" w:hanging="180"/>
      </w:pPr>
    </w:lvl>
  </w:abstractNum>
  <w:abstractNum w:abstractNumId="96973828">
    <w:multiLevelType w:val="hybridMultilevel"/>
    <w:lvl w:ilvl="0" w:tplc="6957566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6973828">
    <w:abstractNumId w:val="96973828"/>
  </w:num>
  <w:num w:numId="96973829">
    <w:abstractNumId w:val="969738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41440659" Type="http://schemas.microsoft.com/office/2011/relationships/commentsExtended" Target="commentsExtended.xml"/><Relationship Id="rId66366a405e9b2bdfe" Type="http://schemas.openxmlformats.org/officeDocument/2006/relationships/hyperlink" Target="https://gd.eppo.int/" TargetMode="External"/><Relationship Id="rId13416a405e9b2c340" Type="http://schemas.openxmlformats.org/officeDocument/2006/relationships/hyperlink" Target="http://www.efsa.europa.eu/en/efsajournal/doc/3923.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