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Citrus tristeza virus (European isolates) (Citrus tristeza virus) (CTV000)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Reliable detection and identification tests are available. However, European isolates cannot be discriminated from non-European ones on the basis of their molecular properties. A combination of biological, molecular and, possibly, serological data are needed for a conclusive characterisation of the genetic and pathogenic features of a CTV isolate (EU COM,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Croatia (2009); Cyprus (2014); Greece (2014); Greece/Kriti (2012); Italy (2014); Italy/Sicilia (2016); Portugal (2013); Portugal/Madeira (1998);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73266203da3dddd8"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(1FOLG)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 except for strains qualifying for the quarantine status, if it is possible depending on the tests available to do such a distinction.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tested within the previous 3 years and found free from Citrus tristeza virus;</w:t>
      </w:r>
      <w:r>
        <w:rPr>
          <w:color w:val="0200C9"/>
          <w:sz w:val="24"/>
          <w:szCs w:val="24"/>
        </w:rPr>
        <w:br/>
        <w:t xml:space="preserve">AND</w:t>
      </w:r>
      <w:r>
        <w:rPr>
          <w:color w:val="0200C9"/>
          <w:sz w:val="24"/>
          <w:szCs w:val="24"/>
        </w:rPr>
        <w:br/>
        <w:t xml:space="preserve">(B) (a) Plants produced in areas known to be free from Citrus tristeza virus;</w:t>
      </w:r>
      <w:r>
        <w:rPr>
          <w:color w:val="0200C9"/>
          <w:sz w:val="24"/>
          <w:szCs w:val="24"/>
        </w:rPr>
        <w:br/>
        <w:t xml:space="preserve">or</w:t>
      </w:r>
      <w:r>
        <w:rPr>
          <w:color w:val="0200C9"/>
          <w:sz w:val="24"/>
          <w:szCs w:val="24"/>
        </w:rPr>
        <w:br/>
        <w:t xml:space="preserve">(b) Site of production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(c) Site of production under physical protection from vectors, and found free from Citrus tristeza virus over the last complete growing season by testing of a representative sample of the plants at the appropriate time;</w:t>
      </w:r>
      <w:r>
        <w:rPr>
          <w:color w:val="0200C9"/>
          <w:sz w:val="24"/>
          <w:szCs w:val="24"/>
        </w:rPr>
        <w:br/>
        <w:t xml:space="preserve">or</w:t>
      </w:r>
      <w:r>
        <w:rPr>
          <w:color w:val="0200C9"/>
          <w:sz w:val="24"/>
          <w:szCs w:val="24"/>
        </w:rPr>
        <w:br/>
        <w:t xml:space="preserve">(d) [in cases where there is a positive test result in a lot] All plants have been tested individually and no more than 2% of those plants were found positive, the plants tested positive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 Visual examination was not considered as being sufficient for this pest. Options (b) and (c) are very similar but the sampling intensity may be different. The fruit SEWG gave the indication of a minimum testing of 0,1% of the plants for an outdoor site of production and 0,05% of the plants under physical protection from vectors. However the coreHEWGplus recommended using 'a representative sample' rather than a specific percentage that should depend on the confidence level and the size of the sample (see ISPM 31).</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Citrus tristeza virus. EFSA Journal 2014;12(12):3923, 32 pp. doi:10.2903/j.efsa.2014.3923 </w:t>
      </w:r>
      <w:hyperlink r:id="rId461266203da3de0bf" w:history="1">
        <w:r>
          <w:rPr>
            <w:color w:val="0200C9"/>
            <w:sz w:val="24"/>
            <w:szCs w:val="24"/>
          </w:rPr>
          <w:t xml:space="preserve">http://www.efsa.europa.eu/en/efsajournal/doc/3923.pdf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Citrus tristeza virus (European isolates);</w:t>
      </w:r>
    </w:p>
    <w:p>
      <w:pPr>
        <w:numPr>
          <w:ilvl w:val="0"/>
          <w:numId w:val="1"/>
        </w:numPr>
        <w:spacing w:before="0" w:after="0" w:line="240" w:lineRule="auto"/>
        <w:jc w:val="left"/>
        <w:rPr>
          <w:color w:val="0200C9"/>
          <w:sz w:val="24"/>
          <w:szCs w:val="24"/>
        </w:rPr>
      </w:pPr>
      <w:r>
        <w:rPr>
          <w:color w:val="0200C9"/>
          <w:sz w:val="24"/>
          <w:szCs w:val="24"/>
        </w:rPr>
        <w:t xml:space="preserve">Riolo G, Conti F, Tamburino V, D'Anna R, Cavallaro G, Garozzo M &amp; Ricca G (2009) Tristeza of citrus under control in Sicilian nurseries. Informatore Agrario 65 No.40 pp.49-51;</w:t>
      </w:r>
    </w:p>
    <w:p>
      <w:pPr>
        <w:numPr>
          <w:ilvl w:val="0"/>
          <w:numId w:val="1"/>
        </w:numPr>
        <w:spacing w:before="0" w:after="0" w:line="240" w:lineRule="auto"/>
        <w:jc w:val="left"/>
        <w:rPr>
          <w:color w:val="0200C9"/>
          <w:sz w:val="24"/>
          <w:szCs w:val="24"/>
        </w:rPr>
      </w:pPr>
      <w:r>
        <w:rPr>
          <w:color w:val="0200C9"/>
          <w:sz w:val="24"/>
          <w:szCs w:val="24"/>
        </w:rPr>
        <w:t xml:space="preserve">Santos ARA dos, Souza EH de, Fadini M, Souza FVD, Barbosa C de J, Girardi EA &amp; Soares Filho W dos S (2016) Selection of CTV-tolerant citrus hybrids for ornamental use. Fruits (Paris) 71 No.6 pp.389-398;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646631">
    <w:multiLevelType w:val="hybridMultilevel"/>
    <w:lvl w:ilvl="0" w:tplc="95497039">
      <w:start w:val="1"/>
      <w:numFmt w:val="decimal"/>
      <w:lvlText w:val="%1."/>
      <w:lvlJc w:val="left"/>
      <w:pPr>
        <w:ind w:left="720" w:hanging="360"/>
      </w:pPr>
    </w:lvl>
    <w:lvl w:ilvl="1" w:tplc="95497039" w:tentative="1">
      <w:start w:val="1"/>
      <w:numFmt w:val="lowerLetter"/>
      <w:lvlText w:val="%2."/>
      <w:lvlJc w:val="left"/>
      <w:pPr>
        <w:ind w:left="1440" w:hanging="360"/>
      </w:pPr>
    </w:lvl>
    <w:lvl w:ilvl="2" w:tplc="95497039" w:tentative="1">
      <w:start w:val="1"/>
      <w:numFmt w:val="lowerRoman"/>
      <w:lvlText w:val="%3."/>
      <w:lvlJc w:val="right"/>
      <w:pPr>
        <w:ind w:left="2160" w:hanging="180"/>
      </w:pPr>
    </w:lvl>
    <w:lvl w:ilvl="3" w:tplc="95497039" w:tentative="1">
      <w:start w:val="1"/>
      <w:numFmt w:val="decimal"/>
      <w:lvlText w:val="%4."/>
      <w:lvlJc w:val="left"/>
      <w:pPr>
        <w:ind w:left="2880" w:hanging="360"/>
      </w:pPr>
    </w:lvl>
    <w:lvl w:ilvl="4" w:tplc="95497039" w:tentative="1">
      <w:start w:val="1"/>
      <w:numFmt w:val="lowerLetter"/>
      <w:lvlText w:val="%5."/>
      <w:lvlJc w:val="left"/>
      <w:pPr>
        <w:ind w:left="3600" w:hanging="360"/>
      </w:pPr>
    </w:lvl>
    <w:lvl w:ilvl="5" w:tplc="95497039" w:tentative="1">
      <w:start w:val="1"/>
      <w:numFmt w:val="lowerRoman"/>
      <w:lvlText w:val="%6."/>
      <w:lvlJc w:val="right"/>
      <w:pPr>
        <w:ind w:left="4320" w:hanging="180"/>
      </w:pPr>
    </w:lvl>
    <w:lvl w:ilvl="6" w:tplc="95497039" w:tentative="1">
      <w:start w:val="1"/>
      <w:numFmt w:val="decimal"/>
      <w:lvlText w:val="%7."/>
      <w:lvlJc w:val="left"/>
      <w:pPr>
        <w:ind w:left="5040" w:hanging="360"/>
      </w:pPr>
    </w:lvl>
    <w:lvl w:ilvl="7" w:tplc="95497039" w:tentative="1">
      <w:start w:val="1"/>
      <w:numFmt w:val="lowerLetter"/>
      <w:lvlText w:val="%8."/>
      <w:lvlJc w:val="left"/>
      <w:pPr>
        <w:ind w:left="5760" w:hanging="360"/>
      </w:pPr>
    </w:lvl>
    <w:lvl w:ilvl="8" w:tplc="95497039" w:tentative="1">
      <w:start w:val="1"/>
      <w:numFmt w:val="lowerRoman"/>
      <w:lvlText w:val="%9."/>
      <w:lvlJc w:val="right"/>
      <w:pPr>
        <w:ind w:left="6480" w:hanging="180"/>
      </w:pPr>
    </w:lvl>
  </w:abstractNum>
  <w:abstractNum w:abstractNumId="76646630">
    <w:multiLevelType w:val="hybridMultilevel"/>
    <w:lvl w:ilvl="0" w:tplc="25080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646630">
    <w:abstractNumId w:val="76646630"/>
  </w:num>
  <w:num w:numId="76646631">
    <w:abstractNumId w:val="766466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5323560" Type="http://schemas.microsoft.com/office/2011/relationships/commentsExtended" Target="commentsExtended.xml"/><Relationship Id="rId373266203da3dddd8" Type="http://schemas.openxmlformats.org/officeDocument/2006/relationships/hyperlink" Target="https://gd.eppo.int/" TargetMode="External"/><Relationship Id="rId461266203da3de0bf" Type="http://schemas.openxmlformats.org/officeDocument/2006/relationships/hyperlink" Target="http://www.efsa.europa.eu/en/efsajournal/doc/392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