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Citrus tristeza virus (European isolates) (Citrus tristeza virus) CTV000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Reliable detection and identification tests are available. However, European isolates cannot be discriminated from non-European ones on the basis of their molecular properties. A combination of biological, molecular and, possibly, serological data are needed for a conclusive characterisation of the genetic and pathogenic features of a CTV isolate (EU COM, 2016).</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Croatia (2009); Cyprus (2014); Greece (2014); Greece/Kriti (2012); Italy (2014); Italy/Sicilia (2016); Portugal (2013); Portugal/Madeira (1998); Spain (2011)</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This pest is a candidate for the RNQP status according to the IIA2AWG. Non-European isolates are regulated in Annex IIAI of the plant health Directive 2000/29/EC. Data of the presence of this pest on the EU territory are available in EPPO Global Database (</w:t>
      </w:r>
      <w:hyperlink r:id="rId32626ae75410b5ad4"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Citrus (1CIDG)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149613"/>
          <w:sz w:val="24"/>
          <w:szCs w:val="24"/>
        </w:rPr>
        <w:t xml:space="preserve">Production of certified pathogen-tested trees and rootstocks of Citrus, Poncirus, Fortunella and their hybrids are covered by EPPO PM 4/12 (1) Standard.</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 based on EPPO PM 4 Standard, except for strains qualifying for the quarantine status, if it is possible depending on the tests available to do such a distinction.</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approach, based on visual examination and/or testing.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Non-certified material (‘CAC’):</w:t>
      </w:r>
      <w:r>
        <w:rPr>
          <w:color w:val="0200C9"/>
          <w:sz w:val="24"/>
          <w:szCs w:val="24"/>
        </w:rPr>
        <w:br/>
        <w:t xml:space="preserve">(A) Derived from mother plants which have been tested within the previous 3 years and found free from Citrus tristeza virus;</w:t>
      </w:r>
      <w:r>
        <w:rPr>
          <w:color w:val="0200C9"/>
          <w:sz w:val="24"/>
          <w:szCs w:val="24"/>
        </w:rPr>
        <w:br/>
        <w:t xml:space="preserve">AND</w:t>
      </w:r>
      <w:r>
        <w:rPr>
          <w:color w:val="0200C9"/>
          <w:sz w:val="24"/>
          <w:szCs w:val="24"/>
        </w:rPr>
        <w:br/>
        <w:t xml:space="preserve">(B) (a) Plants produced in areas known to be free from Citrus tristeza virus;</w:t>
      </w:r>
      <w:r>
        <w:rPr>
          <w:color w:val="0200C9"/>
          <w:sz w:val="24"/>
          <w:szCs w:val="24"/>
        </w:rPr>
        <w:br/>
        <w:t xml:space="preserve">or</w:t>
      </w:r>
      <w:r>
        <w:rPr>
          <w:color w:val="0200C9"/>
          <w:sz w:val="24"/>
          <w:szCs w:val="24"/>
        </w:rPr>
        <w:br/>
        <w:t xml:space="preserve">(b) Site of production found free from Citrus tristeza virus over the last complete growing season by testing of a representative sample of the plants at the appropriate time;</w:t>
      </w:r>
      <w:r>
        <w:rPr>
          <w:color w:val="0200C9"/>
          <w:sz w:val="24"/>
          <w:szCs w:val="24"/>
        </w:rPr>
        <w:br/>
        <w:t xml:space="preserve">or</w:t>
      </w:r>
      <w:r>
        <w:rPr>
          <w:color w:val="0200C9"/>
          <w:sz w:val="24"/>
          <w:szCs w:val="24"/>
        </w:rPr>
        <w:br/>
        <w:t xml:space="preserve">(c) Site of production under physical protection from vectors, and found free from Citrus tristeza virus over the last complete growing season by testing of a representative sample of the plants at the appropriate time;</w:t>
      </w:r>
      <w:r>
        <w:rPr>
          <w:color w:val="0200C9"/>
          <w:sz w:val="24"/>
          <w:szCs w:val="24"/>
        </w:rPr>
        <w:br/>
        <w:t xml:space="preserve">or</w:t>
      </w:r>
      <w:r>
        <w:rPr>
          <w:color w:val="0200C9"/>
          <w:sz w:val="24"/>
          <w:szCs w:val="24"/>
        </w:rPr>
        <w:br/>
        <w:t xml:space="preserve">(d) [in cases where there is a positive test result in a lot] All plants have been tested individually and no more than 2% of those plants were found positive, the plants tested positive have been rogued out and destroyed immediately.</w:t>
      </w:r>
      <w:r>
        <w:rPr>
          <w:color w:val="0200C9"/>
          <w:sz w:val="24"/>
          <w:szCs w:val="24"/>
        </w:rPr>
        <w:br/>
        <w:br/>
        <w:t xml:space="preserve">Pre-basic, basic and certified material, additional measures to be considered include:</w:t>
      </w:r>
      <w:r>
        <w:rPr>
          <w:color w:val="0200C9"/>
          <w:sz w:val="24"/>
          <w:szCs w:val="24"/>
        </w:rPr>
        <w:br/>
        <w:t xml:space="preserve">• Measures to control the vector or reduce transmission;</w:t>
      </w:r>
      <w:r>
        <w:rPr>
          <w:color w:val="0200C9"/>
          <w:sz w:val="24"/>
          <w:szCs w:val="24"/>
        </w:rPr>
        <w:br/>
        <w:t xml:space="preserve">• Physical protection of mother plants;</w:t>
      </w:r>
      <w:r>
        <w:rPr>
          <w:color w:val="0200C9"/>
          <w:sz w:val="24"/>
          <w:szCs w:val="24"/>
        </w:rPr>
        <w:br/>
        <w:t xml:space="preserve">• Testing of mother plants.</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Visual examination was not considered as being sufficient for this pest. Options (b) and (c) are very similar but the sampling intensity may be different. The fruit SEWG gave the indication of a minimum testing of 0,1% of the plants for an outdoor site of production and 0,05% of the plants under physical protection from vectors. However the coreHEWGplus recommended using 'a representative sample' rather than a specific percentage that should depend on the confidence level and the size of the sample (see ISPM 31).</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Citrus tristeza virus. EFSA Journal 2014;12(12):3923, 32 pp. doi:10.2903/j.efsa.2014.3923 </w:t>
      </w:r>
      <w:hyperlink r:id="rId58466ae75410b5cb2" w:history="1">
        <w:r>
          <w:rPr>
            <w:color w:val="0200C9"/>
            <w:sz w:val="24"/>
            <w:szCs w:val="24"/>
          </w:rPr>
          <w:t xml:space="preserve">http://www.efsa.europa.eu/en/efsajournal/doc/3923.pdf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Citrus tristeza virus (European isolates);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2912612">
    <w:multiLevelType w:val="hybridMultilevel"/>
    <w:lvl w:ilvl="0" w:tplc="64365187">
      <w:start w:val="1"/>
      <w:numFmt w:val="decimal"/>
      <w:lvlText w:val="%1."/>
      <w:lvlJc w:val="left"/>
      <w:pPr>
        <w:ind w:left="720" w:hanging="360"/>
      </w:pPr>
    </w:lvl>
    <w:lvl w:ilvl="1" w:tplc="64365187" w:tentative="1">
      <w:start w:val="1"/>
      <w:numFmt w:val="lowerLetter"/>
      <w:lvlText w:val="%2."/>
      <w:lvlJc w:val="left"/>
      <w:pPr>
        <w:ind w:left="1440" w:hanging="360"/>
      </w:pPr>
    </w:lvl>
    <w:lvl w:ilvl="2" w:tplc="64365187" w:tentative="1">
      <w:start w:val="1"/>
      <w:numFmt w:val="lowerRoman"/>
      <w:lvlText w:val="%3."/>
      <w:lvlJc w:val="right"/>
      <w:pPr>
        <w:ind w:left="2160" w:hanging="180"/>
      </w:pPr>
    </w:lvl>
    <w:lvl w:ilvl="3" w:tplc="64365187" w:tentative="1">
      <w:start w:val="1"/>
      <w:numFmt w:val="decimal"/>
      <w:lvlText w:val="%4."/>
      <w:lvlJc w:val="left"/>
      <w:pPr>
        <w:ind w:left="2880" w:hanging="360"/>
      </w:pPr>
    </w:lvl>
    <w:lvl w:ilvl="4" w:tplc="64365187" w:tentative="1">
      <w:start w:val="1"/>
      <w:numFmt w:val="lowerLetter"/>
      <w:lvlText w:val="%5."/>
      <w:lvlJc w:val="left"/>
      <w:pPr>
        <w:ind w:left="3600" w:hanging="360"/>
      </w:pPr>
    </w:lvl>
    <w:lvl w:ilvl="5" w:tplc="64365187" w:tentative="1">
      <w:start w:val="1"/>
      <w:numFmt w:val="lowerRoman"/>
      <w:lvlText w:val="%6."/>
      <w:lvlJc w:val="right"/>
      <w:pPr>
        <w:ind w:left="4320" w:hanging="180"/>
      </w:pPr>
    </w:lvl>
    <w:lvl w:ilvl="6" w:tplc="64365187" w:tentative="1">
      <w:start w:val="1"/>
      <w:numFmt w:val="decimal"/>
      <w:lvlText w:val="%7."/>
      <w:lvlJc w:val="left"/>
      <w:pPr>
        <w:ind w:left="5040" w:hanging="360"/>
      </w:pPr>
    </w:lvl>
    <w:lvl w:ilvl="7" w:tplc="64365187" w:tentative="1">
      <w:start w:val="1"/>
      <w:numFmt w:val="lowerLetter"/>
      <w:lvlText w:val="%8."/>
      <w:lvlJc w:val="left"/>
      <w:pPr>
        <w:ind w:left="5760" w:hanging="360"/>
      </w:pPr>
    </w:lvl>
    <w:lvl w:ilvl="8" w:tplc="64365187" w:tentative="1">
      <w:start w:val="1"/>
      <w:numFmt w:val="lowerRoman"/>
      <w:lvlText w:val="%9."/>
      <w:lvlJc w:val="right"/>
      <w:pPr>
        <w:ind w:left="6480" w:hanging="180"/>
      </w:pPr>
    </w:lvl>
  </w:abstractNum>
  <w:abstractNum w:abstractNumId="22912611">
    <w:multiLevelType w:val="hybridMultilevel"/>
    <w:lvl w:ilvl="0" w:tplc="468064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2912611">
    <w:abstractNumId w:val="22912611"/>
  </w:num>
  <w:num w:numId="22912612">
    <w:abstractNumId w:val="229126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47806880" Type="http://schemas.microsoft.com/office/2011/relationships/commentsExtended" Target="commentsExtended.xml"/><Relationship Id="rId32626ae75410b5ad4" Type="http://schemas.openxmlformats.org/officeDocument/2006/relationships/hyperlink" Target="https://gd.eppo.int/" TargetMode="External"/><Relationship Id="rId58466ae75410b5cb2" Type="http://schemas.openxmlformats.org/officeDocument/2006/relationships/hyperlink" Target="http://www.efsa.europa.eu/en/efsajournal/doc/3923.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