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495469f57a32b54b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999669f57a32b5974"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361572">
    <w:multiLevelType w:val="hybridMultilevel"/>
    <w:lvl w:ilvl="0" w:tplc="94455511">
      <w:start w:val="1"/>
      <w:numFmt w:val="decimal"/>
      <w:lvlText w:val="%1."/>
      <w:lvlJc w:val="left"/>
      <w:pPr>
        <w:ind w:left="720" w:hanging="360"/>
      </w:pPr>
    </w:lvl>
    <w:lvl w:ilvl="1" w:tplc="94455511" w:tentative="1">
      <w:start w:val="1"/>
      <w:numFmt w:val="lowerLetter"/>
      <w:lvlText w:val="%2."/>
      <w:lvlJc w:val="left"/>
      <w:pPr>
        <w:ind w:left="1440" w:hanging="360"/>
      </w:pPr>
    </w:lvl>
    <w:lvl w:ilvl="2" w:tplc="94455511" w:tentative="1">
      <w:start w:val="1"/>
      <w:numFmt w:val="lowerRoman"/>
      <w:lvlText w:val="%3."/>
      <w:lvlJc w:val="right"/>
      <w:pPr>
        <w:ind w:left="2160" w:hanging="180"/>
      </w:pPr>
    </w:lvl>
    <w:lvl w:ilvl="3" w:tplc="94455511" w:tentative="1">
      <w:start w:val="1"/>
      <w:numFmt w:val="decimal"/>
      <w:lvlText w:val="%4."/>
      <w:lvlJc w:val="left"/>
      <w:pPr>
        <w:ind w:left="2880" w:hanging="360"/>
      </w:pPr>
    </w:lvl>
    <w:lvl w:ilvl="4" w:tplc="94455511" w:tentative="1">
      <w:start w:val="1"/>
      <w:numFmt w:val="lowerLetter"/>
      <w:lvlText w:val="%5."/>
      <w:lvlJc w:val="left"/>
      <w:pPr>
        <w:ind w:left="3600" w:hanging="360"/>
      </w:pPr>
    </w:lvl>
    <w:lvl w:ilvl="5" w:tplc="94455511" w:tentative="1">
      <w:start w:val="1"/>
      <w:numFmt w:val="lowerRoman"/>
      <w:lvlText w:val="%6."/>
      <w:lvlJc w:val="right"/>
      <w:pPr>
        <w:ind w:left="4320" w:hanging="180"/>
      </w:pPr>
    </w:lvl>
    <w:lvl w:ilvl="6" w:tplc="94455511" w:tentative="1">
      <w:start w:val="1"/>
      <w:numFmt w:val="decimal"/>
      <w:lvlText w:val="%7."/>
      <w:lvlJc w:val="left"/>
      <w:pPr>
        <w:ind w:left="5040" w:hanging="360"/>
      </w:pPr>
    </w:lvl>
    <w:lvl w:ilvl="7" w:tplc="94455511" w:tentative="1">
      <w:start w:val="1"/>
      <w:numFmt w:val="lowerLetter"/>
      <w:lvlText w:val="%8."/>
      <w:lvlJc w:val="left"/>
      <w:pPr>
        <w:ind w:left="5760" w:hanging="360"/>
      </w:pPr>
    </w:lvl>
    <w:lvl w:ilvl="8" w:tplc="94455511" w:tentative="1">
      <w:start w:val="1"/>
      <w:numFmt w:val="lowerRoman"/>
      <w:lvlText w:val="%9."/>
      <w:lvlJc w:val="right"/>
      <w:pPr>
        <w:ind w:left="6480" w:hanging="180"/>
      </w:pPr>
    </w:lvl>
  </w:abstractNum>
  <w:abstractNum w:abstractNumId="81361571">
    <w:multiLevelType w:val="hybridMultilevel"/>
    <w:lvl w:ilvl="0" w:tplc="56884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361571">
    <w:abstractNumId w:val="81361571"/>
  </w:num>
  <w:num w:numId="81361572">
    <w:abstractNumId w:val="813615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4404418" Type="http://schemas.microsoft.com/office/2011/relationships/commentsExtended" Target="commentsExtended.xml"/><Relationship Id="rId495469f57a32b54be" Type="http://schemas.openxmlformats.org/officeDocument/2006/relationships/hyperlink" Target="https://gd.eppo.int/" TargetMode="External"/><Relationship Id="rId999669f57a32b5974"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