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(Potato stolbur mycoplasm)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solani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2236a702991b8eb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Solanaceae (1SOLF)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(EFSA-PLH, 2014). In Germany the organism was for example found in potatoes in two consecutive years in the same area and the suspected source was infected weeds in the surroundings (EPPO Reporting Service 2008/213; 2010/155). As a consequence, natural spread from the reservoir of infected weed species is the main pathway of spread to actively growing crops in areas where the organism is present. CPs is not thought to be transmitted in the true seed of any of its hosts (EPPO, Data Sheets on Quarantine Pest), so vegetable propagating and planting material can only become a pathway in the limited timeframe between sowing and transplantation of the propagating and planting material. Regarding vegetable Solanaceae, it has been found in tomato, pepper, and aubergine (EFSA-PLH, 2014). Most young plants of vegetable Solanaceae are usually grown in protected conditions where the vector is absent and weeds can be controlled. Given that the major agricultural Solanaceous crops are dead-end-hosts, the only potential economic impact arises from the negative effects of CPs on the infected transplants themselves. Furthermore, it is not clear whether vectors spread CPs within economic host crops to any extent. In fact, in nature, the economically important host crops are not important for the continuity of the virus; an incomparably greater role is played by such wild plants as Convolvulus arvensis , clovers and, probably, Asteraceae and other plants (EPPO, Data Sheets on Quarantine Pest).</w:t>
      </w:r>
      <w:r>
        <w:rPr>
          <w:color w:val="0200C9"/>
          <w:sz w:val="24"/>
          <w:szCs w:val="24"/>
        </w:rPr>
        <w:br/>
        <w:t xml:space="preserve">The vegetable SEWG concluded that plant for planting is only a significant pathway in relation to plants grown under protected conditions, when the vector can be excluded.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Severe impact of CP on plant growth, fruit yield and quality is recorded for infected tomato, eggplant and pepper plants (Fialova et al., 2009; Navràtil et al., 2009; Marchoux and Rougier, 1987). In severe epidemics, yield losses as high as 60 % in tomato and 93 % in pepper have been reported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considerate moderate to minor, fluctuating and depending on climate, presence of weed inoculum sources and vector populations. Impact is strongly affected by natural spread (EFSA-PLH,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Yes, for plants grown under protective conditions: For young plants raised under protected conditions, it may be possible to keep the plants free of the pest. For any plants grown outside, there will be no practical measures to prevent infections by vectors, which are both very good fliers and difficult to tackle by insecticide suppression. Young plants of fruit vegetables that are grown under protected conditions (tomato, pepper, eggplant) are usually grown in glasshouses that have insect screens in the windows (situation in the Netherlands), but not during the part of the season (hot dry summers) which stimulate vector migration. Measures to avoid unacceptable economic impact on vegetable propagating and planting material therefore seem somewhat redundant.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in relation to plants grown under protected conditions when the vector can be excluded. For outdoor crops where the pathogen and vectors are present, plants for planting are not considered to be the main pathway. Solanaceae are generally dead end hosts. The requirement for absence of visual symptoms on the traded material (current general 'Substantially free from' requirement in the EU) is considered to be sufficient for solanaceous vegetable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80346a702991b934f"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Data Sheets on Quarantine Pests. Potato stolbur phytoplasma;</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numPr>
          <w:ilvl w:val="0"/>
          <w:numId w:val="1"/>
        </w:numPr>
        <w:spacing w:before="0" w:after="0" w:line="240" w:lineRule="auto"/>
        <w:jc w:val="left"/>
        <w:rPr>
          <w:color w:val="0200C9"/>
          <w:sz w:val="24"/>
          <w:szCs w:val="24"/>
        </w:rPr>
      </w:pPr>
      <w:r>
        <w:rPr>
          <w:color w:val="0200C9"/>
          <w:sz w:val="24"/>
          <w:szCs w:val="24"/>
        </w:rPr>
        <w:t xml:space="preserve">Fialova R, Valova P, Balakishiyeva G, Danet JL, Safarova D, Foissac X &amp; Navratil M (2009) Genetic variability of stolbur phytoplasma in annual crop and wild plant species in South Moravia. Journal of Plant Pathology 91, 411-416;</w:t>
      </w:r>
    </w:p>
    <w:p>
      <w:pPr>
        <w:numPr>
          <w:ilvl w:val="0"/>
          <w:numId w:val="1"/>
        </w:numPr>
        <w:spacing w:before="0" w:after="0" w:line="240" w:lineRule="auto"/>
        <w:jc w:val="left"/>
        <w:rPr>
          <w:color w:val="0200C9"/>
          <w:sz w:val="24"/>
          <w:szCs w:val="24"/>
        </w:rPr>
      </w:pPr>
      <w:r>
        <w:rPr>
          <w:color w:val="0200C9"/>
          <w:sz w:val="24"/>
          <w:szCs w:val="24"/>
        </w:rPr>
        <w:t xml:space="preserve">Marchoux G &amp; Rougier J (1987) Une nouvelle affection des solanées maraîchères: la maladie des proliférations et petites feuilles. Phytoma 392, 53-54;</w:t>
      </w:r>
    </w:p>
    <w:p>
      <w:pPr>
        <w:numPr>
          <w:ilvl w:val="0"/>
          <w:numId w:val="1"/>
        </w:numPr>
        <w:spacing w:before="0" w:after="0" w:line="240" w:lineRule="auto"/>
        <w:jc w:val="left"/>
        <w:rPr>
          <w:color w:val="0200C9"/>
          <w:sz w:val="24"/>
          <w:szCs w:val="24"/>
        </w:rPr>
      </w:pPr>
      <w:r>
        <w:rPr>
          <w:color w:val="0200C9"/>
          <w:sz w:val="24"/>
          <w:szCs w:val="24"/>
        </w:rPr>
        <w:t xml:space="preserve">Navratil M, Va´ lova´ P, Fialova´ R, Lauterer P, Sˇ afa´ rˇova´ D &amp; Stary´ M (2009) Incidence of stolbur disease in vegetable crops in South Moravia (Czech Republic) and consequences of yield losses. Crop Prot 28, 898–904;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413123">
    <w:multiLevelType w:val="hybridMultilevel"/>
    <w:lvl w:ilvl="0" w:tplc="12903766">
      <w:start w:val="1"/>
      <w:numFmt w:val="decimal"/>
      <w:lvlText w:val="%1."/>
      <w:lvlJc w:val="left"/>
      <w:pPr>
        <w:ind w:left="720" w:hanging="360"/>
      </w:pPr>
    </w:lvl>
    <w:lvl w:ilvl="1" w:tplc="12903766" w:tentative="1">
      <w:start w:val="1"/>
      <w:numFmt w:val="lowerLetter"/>
      <w:lvlText w:val="%2."/>
      <w:lvlJc w:val="left"/>
      <w:pPr>
        <w:ind w:left="1440" w:hanging="360"/>
      </w:pPr>
    </w:lvl>
    <w:lvl w:ilvl="2" w:tplc="12903766" w:tentative="1">
      <w:start w:val="1"/>
      <w:numFmt w:val="lowerRoman"/>
      <w:lvlText w:val="%3."/>
      <w:lvlJc w:val="right"/>
      <w:pPr>
        <w:ind w:left="2160" w:hanging="180"/>
      </w:pPr>
    </w:lvl>
    <w:lvl w:ilvl="3" w:tplc="12903766" w:tentative="1">
      <w:start w:val="1"/>
      <w:numFmt w:val="decimal"/>
      <w:lvlText w:val="%4."/>
      <w:lvlJc w:val="left"/>
      <w:pPr>
        <w:ind w:left="2880" w:hanging="360"/>
      </w:pPr>
    </w:lvl>
    <w:lvl w:ilvl="4" w:tplc="12903766" w:tentative="1">
      <w:start w:val="1"/>
      <w:numFmt w:val="lowerLetter"/>
      <w:lvlText w:val="%5."/>
      <w:lvlJc w:val="left"/>
      <w:pPr>
        <w:ind w:left="3600" w:hanging="360"/>
      </w:pPr>
    </w:lvl>
    <w:lvl w:ilvl="5" w:tplc="12903766" w:tentative="1">
      <w:start w:val="1"/>
      <w:numFmt w:val="lowerRoman"/>
      <w:lvlText w:val="%6."/>
      <w:lvlJc w:val="right"/>
      <w:pPr>
        <w:ind w:left="4320" w:hanging="180"/>
      </w:pPr>
    </w:lvl>
    <w:lvl w:ilvl="6" w:tplc="12903766" w:tentative="1">
      <w:start w:val="1"/>
      <w:numFmt w:val="decimal"/>
      <w:lvlText w:val="%7."/>
      <w:lvlJc w:val="left"/>
      <w:pPr>
        <w:ind w:left="5040" w:hanging="360"/>
      </w:pPr>
    </w:lvl>
    <w:lvl w:ilvl="7" w:tplc="12903766" w:tentative="1">
      <w:start w:val="1"/>
      <w:numFmt w:val="lowerLetter"/>
      <w:lvlText w:val="%8."/>
      <w:lvlJc w:val="left"/>
      <w:pPr>
        <w:ind w:left="5760" w:hanging="360"/>
      </w:pPr>
    </w:lvl>
    <w:lvl w:ilvl="8" w:tplc="12903766" w:tentative="1">
      <w:start w:val="1"/>
      <w:numFmt w:val="lowerRoman"/>
      <w:lvlText w:val="%9."/>
      <w:lvlJc w:val="right"/>
      <w:pPr>
        <w:ind w:left="6480" w:hanging="180"/>
      </w:pPr>
    </w:lvl>
  </w:abstractNum>
  <w:abstractNum w:abstractNumId="60413122">
    <w:multiLevelType w:val="hybridMultilevel"/>
    <w:lvl w:ilvl="0" w:tplc="58930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413122">
    <w:abstractNumId w:val="60413122"/>
  </w:num>
  <w:num w:numId="60413123">
    <w:abstractNumId w:val="604131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0941811" Type="http://schemas.microsoft.com/office/2011/relationships/commentsExtended" Target="commentsExtended.xml"/><Relationship Id="rId62236a702991b8ebd" Type="http://schemas.openxmlformats.org/officeDocument/2006/relationships/hyperlink" Target="https://gd.eppo.int/" TargetMode="External"/><Relationship Id="rId80346a702991b934f" Type="http://schemas.openxmlformats.org/officeDocument/2006/relationships/hyperlink" Target="http://www.efsa.europa.eu/en/efsajournal/doc/392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