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Candidatus Phytoplasma solani (Potato stolbur mycoplasm) (PHYPSO)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Candidatus Phytoplasma solani</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Seed potato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Seed potato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(2014); Bulgaria (2014); Croatia (2015); Czech Republic (2009); France (2014); Germany (2010); Greece (2014); Hungary (2011); Italy (2010); Italy/Sicilia (1995); Poland (1999); Slovakia (2000); Slovenia (2011); Spain (2014)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8833662a3a1cd1013"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Solanum tuberosum (SOLTU)</w:t>
      </w:r>
      <w:r>
        <w:rPr>
          <w:color w:val="000000"/>
          <w:sz w:val="24"/>
          <w:szCs w:val="24"/>
        </w:rPr>
        <w:t xml:space="preserve"> for the Seed potato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[true]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EPPO PM 4/28 Standard the crop should be free from Potato stolbur phytoplasma. However, because of the NL comment concerning the main pathway, further analysis was carried out by the SEWG on the pathway question.</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Candidatus Phytoplasma solani' (CPs) is transmitted by grafting and vegetative propagation of infected hosts, and by several insect vector species (EU COM, 2016). With the exception of lavender and maize, most crops affected by CPs are dead-end hosts as they are not hosts for the insect vectors. However weed species can act as a reservoir (EFSA, 2014). In Germany the organism was for example found in potatoes in two consecutive years in the same area and the suspected source was infected weeds in the surroundings (EPPO Reporting Service 2008/213; 2010/155). As a consequence, natural spread from the reservoir of infected weed species is the main pathway of spread to actively growing crops in areas where the organism is present. However economic impact arises at the start of the growing season, because most infected seed potatoes do not grow (‘effect on the intended use’). Up to that point, the plants for planting are considered to be the main (indeed only) pathway. Moreover presence of the vectors varies in different parts of the region (plants for planting are also the main pathway in area where vectors are not present).</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00000"/>
          <w:sz w:val="24"/>
          <w:szCs w:val="24"/>
          <w:u w:val="single"/>
        </w:rPr>
        <w:br/>
        <w:t xml:space="preserve">Justification:</w:t>
      </w:r>
      <w:r>
        <w:rPr>
          <w:color w:val="000000"/>
          <w:sz w:val="24"/>
          <w:szCs w:val="24"/>
        </w:rPr>
        <w:t xml:space="preserve">
</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000000"/>
          <w:sz w:val="24"/>
          <w:szCs w:val="24"/>
          <w:u w:val="single"/>
        </w:rPr>
        <w:br/>
        <w:t xml:space="preserve">Conclusion:</w:t>
      </w:r>
      <w:r>
        <w:rPr>
          <w:color w:val="000000"/>
          <w:sz w:val="24"/>
          <w:szCs w:val="24"/>
        </w:rPr>
        <w:t xml:space="preserve">
</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EPPO PM 4 Standard and additional analysis of the pathway. Economic impacts have been reported in the SEWG.</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of symptoms in the growing crop.</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No symptoms of 'Candidatus Phytoplasma solani' have been seen at the place of production since the start of the last complete cycle of vegetation;</w:t>
      </w:r>
      <w:r>
        <w:rPr>
          <w:color w:val="0200C9"/>
          <w:sz w:val="24"/>
          <w:szCs w:val="24"/>
        </w:rPr>
        <w:br/>
        <w:t xml:space="preserve">OR</w:t>
      </w:r>
      <w:r>
        <w:rPr>
          <w:color w:val="0200C9"/>
          <w:sz w:val="24"/>
          <w:szCs w:val="24"/>
        </w:rPr>
        <w:br/>
        <w:t xml:space="preserve">(B) (a) Any plants at the site of production showing symptoms have been rogued out, with their progeny tubers, and destroyed;</w:t>
      </w:r>
      <w:r>
        <w:rPr>
          <w:color w:val="0200C9"/>
          <w:sz w:val="24"/>
          <w:szCs w:val="24"/>
        </w:rPr>
        <w:br/>
        <w:t xml:space="preserve">and</w:t>
      </w:r>
      <w:r>
        <w:rPr>
          <w:color w:val="0200C9"/>
          <w:sz w:val="24"/>
          <w:szCs w:val="24"/>
        </w:rPr>
        <w:br/>
        <w:t xml:space="preserve">(b) For any stocks in which symptoms have been seen in the growing crop, post harvest tuber testing has been carried out, for each lot, to confirm the absence of 'Candidatus Phytoplasma solani'. Any lots testing positive should not be marketed as seed potatoes.</w:t>
      </w:r>
      <w:r>
        <w:rPr>
          <w:color w:val="0200C9"/>
          <w:sz w:val="24"/>
          <w:szCs w:val="24"/>
        </w:rPr>
        <w:br/>
        <w:br/>
        <w:t xml:space="preserve">Reports of the new occurrences of 'Candidatus Phytoplasma solani' should continue to be reported to EPPO during the transition from QP to RNQP status so that the effects of that change can be monitored.</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Candidatus Phytoplasma solani. EFSA Journal 2014;12(12):3924, 27 pp. doi:10.2903/j.efsa.2014.3924 </w:t>
      </w:r>
      <w:hyperlink r:id="rId2487662a3a1cd14cf" w:history="1">
        <w:r>
          <w:rPr>
            <w:color w:val="0200C9"/>
            <w:sz w:val="24"/>
            <w:szCs w:val="24"/>
          </w:rPr>
          <w:t xml:space="preserve">http://www.efsa.europa.eu/en/efsajournal/doc/3924.pdf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Potato stolbur mycoplasma, renamed Candidatus Phytoplasma solani;</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295056">
    <w:multiLevelType w:val="hybridMultilevel"/>
    <w:lvl w:ilvl="0" w:tplc="57487567">
      <w:start w:val="1"/>
      <w:numFmt w:val="decimal"/>
      <w:lvlText w:val="%1."/>
      <w:lvlJc w:val="left"/>
      <w:pPr>
        <w:ind w:left="720" w:hanging="360"/>
      </w:pPr>
    </w:lvl>
    <w:lvl w:ilvl="1" w:tplc="57487567" w:tentative="1">
      <w:start w:val="1"/>
      <w:numFmt w:val="lowerLetter"/>
      <w:lvlText w:val="%2."/>
      <w:lvlJc w:val="left"/>
      <w:pPr>
        <w:ind w:left="1440" w:hanging="360"/>
      </w:pPr>
    </w:lvl>
    <w:lvl w:ilvl="2" w:tplc="57487567" w:tentative="1">
      <w:start w:val="1"/>
      <w:numFmt w:val="lowerRoman"/>
      <w:lvlText w:val="%3."/>
      <w:lvlJc w:val="right"/>
      <w:pPr>
        <w:ind w:left="2160" w:hanging="180"/>
      </w:pPr>
    </w:lvl>
    <w:lvl w:ilvl="3" w:tplc="57487567" w:tentative="1">
      <w:start w:val="1"/>
      <w:numFmt w:val="decimal"/>
      <w:lvlText w:val="%4."/>
      <w:lvlJc w:val="left"/>
      <w:pPr>
        <w:ind w:left="2880" w:hanging="360"/>
      </w:pPr>
    </w:lvl>
    <w:lvl w:ilvl="4" w:tplc="57487567" w:tentative="1">
      <w:start w:val="1"/>
      <w:numFmt w:val="lowerLetter"/>
      <w:lvlText w:val="%5."/>
      <w:lvlJc w:val="left"/>
      <w:pPr>
        <w:ind w:left="3600" w:hanging="360"/>
      </w:pPr>
    </w:lvl>
    <w:lvl w:ilvl="5" w:tplc="57487567" w:tentative="1">
      <w:start w:val="1"/>
      <w:numFmt w:val="lowerRoman"/>
      <w:lvlText w:val="%6."/>
      <w:lvlJc w:val="right"/>
      <w:pPr>
        <w:ind w:left="4320" w:hanging="180"/>
      </w:pPr>
    </w:lvl>
    <w:lvl w:ilvl="6" w:tplc="57487567" w:tentative="1">
      <w:start w:val="1"/>
      <w:numFmt w:val="decimal"/>
      <w:lvlText w:val="%7."/>
      <w:lvlJc w:val="left"/>
      <w:pPr>
        <w:ind w:left="5040" w:hanging="360"/>
      </w:pPr>
    </w:lvl>
    <w:lvl w:ilvl="7" w:tplc="57487567" w:tentative="1">
      <w:start w:val="1"/>
      <w:numFmt w:val="lowerLetter"/>
      <w:lvlText w:val="%8."/>
      <w:lvlJc w:val="left"/>
      <w:pPr>
        <w:ind w:left="5760" w:hanging="360"/>
      </w:pPr>
    </w:lvl>
    <w:lvl w:ilvl="8" w:tplc="57487567" w:tentative="1">
      <w:start w:val="1"/>
      <w:numFmt w:val="lowerRoman"/>
      <w:lvlText w:val="%9."/>
      <w:lvlJc w:val="right"/>
      <w:pPr>
        <w:ind w:left="6480" w:hanging="180"/>
      </w:pPr>
    </w:lvl>
  </w:abstractNum>
  <w:abstractNum w:abstractNumId="42295055">
    <w:multiLevelType w:val="hybridMultilevel"/>
    <w:lvl w:ilvl="0" w:tplc="878585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2295055">
    <w:abstractNumId w:val="42295055"/>
  </w:num>
  <w:num w:numId="42295056">
    <w:abstractNumId w:val="4229505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43391539" Type="http://schemas.microsoft.com/office/2011/relationships/commentsExtended" Target="commentsExtended.xml"/><Relationship Id="rId8833662a3a1cd1013" Type="http://schemas.openxmlformats.org/officeDocument/2006/relationships/hyperlink" Target="https://gd.eppo.int/" TargetMode="External"/><Relationship Id="rId2487662a3a1cd14cf" Type="http://schemas.openxmlformats.org/officeDocument/2006/relationships/hyperlink" Target="http://www.efsa.europa.eu/en/efsajournal/doc/3924.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