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Cryphonectria parasitica (ENDOPA)</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Forest reproductive material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Forest reproductive material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Castanea: In the replies to the RNQP Questionnaire for the forestry sector, ENA only proposed the listing of Castanea sativa. However experts proposed a listing at a level higher than species since at least 8 Castanea spp. are identified as being natural or experimental host plants (EFSA, 2014). Experts of the fruit SEWG agreed with the evaluation proposed by the forestry SEWG on Castanea.</w:t>
      </w:r>
      <w:r>
        <w:rPr>
          <w:color w:val="0200C9"/>
          <w:sz w:val="24"/>
          <w:szCs w:val="24"/>
        </w:rPr>
        <w:br/>
        <w:t xml:space="preserve">Quercus: In the replies to the RNQP Questionnaire for the forestry sector, ENA only proposed the listing of a defined list of species (Quercus suber, Q. rubra, Q. robur, Q. pubescens, Q. petraea, Q. ilex and Q. cerris). However experts proposed a listing at a level higher than species since at least 7 Quercus spp. are identified as being natural or experimental host plants (EFSA, 2014).</w:t>
      </w:r>
      <w:r>
        <w:rPr>
          <w:color w:val="0200C9"/>
          <w:sz w:val="24"/>
          <w:szCs w:val="24"/>
        </w:rPr>
        <w:br/>
        <w:t xml:space="preserve">Remark: Although intraspecific variability is lower in Europe than in North America, there is great variability between different populations at the local and regional level and the result of subsequent sexual recombination produced by the contact of different populations.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(2016); Bulgaria (2013); Croatia (2012); France (2014); France/Corse (1999); Germany (2014); Greece (2016); Greece/Kriti (2006); Hungary (2012); Italy (2014); Italy/Sicilia (2006); Italy/Sardegna (2009); Portugal (2014); Portugal/Azores (2007); Portugal/Madeira (2007); Romania (2013); Slovakia (2014); Slovenia (2012); Spain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664693654ab16428"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Castanea (1CSNG)</w:t>
      </w:r>
      <w:r>
        <w:rPr>
          <w:color w:val="000000"/>
          <w:sz w:val="24"/>
          <w:szCs w:val="24"/>
        </w:rPr>
        <w:t xml:space="preserve"> for the Forest reproductive material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 parasitica can spread via the movement of infected host plants for planting (rootstocks, scions, grafted plants, self-rooted plants, etc.), particularly asymptomatic. Pruning and grafting tools or other equipment used in chestnut nurseries, orchards or forests may potentially spread the disease locally. C. parasitica propagules (ascospores and conidia) can spread locally by wind and/or rain, but might also occasionally be carried by other agents, such as arthropods and birds. However animal vectors are not considered to play a very important role in disease transmission. Many factors may influence the relative importance of ascospores versus conidia and mycelia as the primary inoculum for initiating new cankers or for disease epidemics. Experts considered that infection of seedlings are possible even if it has not been demonstrated so far (EFSA, 2014). Because uncertainty exists about the role of ascospores in disease epidemiology, on natural spread by arthropods and birds, and about the distribution of minor hosts, plants for planting are considered to be a significant pathway for the pest/host/intended use combination. Experts expressed a specific concern about pathway for locally aggressive strains, which would at the same time reduce effectiveness of hypovirulence as control.</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C. parasitica causes cankers, wilt and diebacks, resulting sometimes in the death of its hosts (when on Castanea). Disease incidence ranges from less than 1% in the recently infested areas (such as Germany) to more than 90% in the countries where the pathogen has existed for a long time (e.g. Italy, France, Switzerland, Portugal, etc.). However, there is no direct relationship between disease incidence and impact (EU COM, 2015).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are several assessments of the potential economic impact depending on the European region considered. The presence of natural hypovirulent strains or more tolerant species must also be taken into account, which means that a uniform response cannot be categorically established at European level (Braganca et al., 2007; Tizado et al., 2012; Bryner et al., 2012). This is why the economic impact is proposed as medium. The presence of the pathogen into the host plant is not acceptable due to its transmission character and to the damage that causes (Anderson et al., 2013).</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Avoiding human induced introduction of new strains and identifying and promoting local hipovirulence strains have showed an effective method of managing chestnut plantations (Robin et al., 2010; Anderson et al., 2013; Petto et al., 2013).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are sufficient scientific and technical data that make this pathogen meet the criteria for RNQP status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Plants for planting should be considered as a significant pathway compared to other pathway for the introduction of locally aggressive strains, and absence of regulation of this pest/host combination would reduce effectiveness of hypovirulence as control.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absence of symptoms, for all categories of forest reproductive material (basic, certified and non-certified).</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Cryphonectria parasitica;</w:t>
      </w:r>
      <w:r>
        <w:rPr>
          <w:color w:val="0200C9"/>
          <w:sz w:val="24"/>
          <w:szCs w:val="24"/>
        </w:rPr>
        <w:br/>
        <w:t xml:space="preserve">or</w:t>
      </w:r>
      <w:r>
        <w:rPr>
          <w:color w:val="0200C9"/>
          <w:sz w:val="24"/>
          <w:szCs w:val="24"/>
        </w:rPr>
        <w:br/>
        <w:t xml:space="preserve">(b) No symptoms of Cryphonectria parasitica have been observed at the site of production since the beginning of the last complete cycle of vegetation;</w:t>
      </w:r>
      <w:r>
        <w:rPr>
          <w:color w:val="0200C9"/>
          <w:sz w:val="24"/>
          <w:szCs w:val="24"/>
        </w:rPr>
        <w:br/>
        <w:t xml:space="preserve">or (possibly only applicable to ‘source-identified’ and ‘selected’ material)</w:t>
      </w:r>
      <w:r>
        <w:rPr>
          <w:color w:val="0200C9"/>
          <w:sz w:val="24"/>
          <w:szCs w:val="24"/>
        </w:rPr>
        <w:br/>
        <w:t xml:space="preserve">(c) Plants showing symptoms of Cryphonectria parasitica have been rogued out, remaining plants inspected at weekly intervals and no symptoms have been observed at the site of production for at least three weeks before dispatch.</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agreed that measures could be restricted to the ‘production site’ (no reason supporting the regulation of the whole ‘place of production’). Experts agreed to delete the ‘absence of symptoms in the immediate vicinity’ (measure important for quarantine pests). Experts commented that symptoms are quite easy to see and develop quickly (In 3 weeks necrosis on the bark change in orange and disseminate). An alternative to the plant passport withdrawal for 1 year is proposed. Indeed in some area up to 5% disease can be regularly found on place of production. Because protected zones are maintained on the EU territory, the option requiring that plants originate in areas known to be free from C. parasitica is kept. Risk management options may depend on the quality of the concerned material (last option possibly only applicable to ‘source-identified’ and ‘selected’ material).</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Anderson A, Baker R, Parkinson N, Reed P &amp; Woodward S (2013) Rapid pest risk analysis for Cryphonectria parasitica. The Food and Environment Research Agency, available at: </w:t>
      </w:r>
      <w:hyperlink r:id="rId6367693654ab1693d" w:history="1">
        <w:r>
          <w:rPr>
            <w:color w:val="0200C9"/>
            <w:sz w:val="24"/>
            <w:szCs w:val="24"/>
          </w:rPr>
          <w:t xml:space="preserve">https://secure.fera.defra.gov.uk/phiw/riskRegister/downloadExternalPra.cfm?id=3860</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Bragança H, Simões S, Onofre N, Tenreiro R &amp; Rigling D (2007) Cryphonectria parasitica in Portugal: diversity of vegetative compatibility types, mating types, and occurrence of hypovirulence. Forest Pathology 37, 391–402;</w:t>
      </w:r>
    </w:p>
    <w:p>
      <w:pPr>
        <w:numPr>
          <w:ilvl w:val="0"/>
          <w:numId w:val="1"/>
        </w:numPr>
        <w:spacing w:before="0" w:after="0" w:line="240" w:lineRule="auto"/>
        <w:jc w:val="left"/>
        <w:rPr>
          <w:color w:val="0200C9"/>
          <w:sz w:val="24"/>
          <w:szCs w:val="24"/>
        </w:rPr>
      </w:pPr>
      <w:r>
        <w:rPr>
          <w:color w:val="0200C9"/>
          <w:sz w:val="24"/>
          <w:szCs w:val="24"/>
        </w:rPr>
        <w:t xml:space="preserve">Bryner SF, Rigling D &amp; Brunner PC (2012) Invasion history and demographic pattern of Cryphonectria hypovirus 1 across European populations of the chestnut blight fungus. Ecology and Evolution 2, 3227–3241;</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Cryphonectria parasitica (Murrill) Barr. EFSA Journal 2014;12(10):3859, 42 pp. doi:10.2903/j.efsa.2014.3859 </w:t>
      </w:r>
      <w:hyperlink r:id="rId8750693654ab169a2" w:history="1">
        <w:r>
          <w:rPr>
            <w:color w:val="0200C9"/>
            <w:sz w:val="24"/>
            <w:szCs w:val="24"/>
          </w:rPr>
          <w:t xml:space="preserve">http://www.efsa.europa.eu/en/efsajournal/doc/3859.pdf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(2016) Scientific opinion on the risk assessment and reduction options for Cryphonectria parasitica in the EU. EFSA Journal 2016;14(12):4641, 54 pp. doi:10.2903/j.efsa.2016.4641 </w:t>
      </w:r>
      <w:hyperlink r:id="rId1426693654ab169cf" w:history="1">
        <w:r>
          <w:rPr>
            <w:color w:val="0200C9"/>
            <w:sz w:val="24"/>
            <w:szCs w:val="24"/>
          </w:rPr>
          <w:t xml:space="preserve">https://www.efsa.europa.eu/en/efsajournal/pub/4641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Cryphonectria parasitica (Murrill) Barr;</w:t>
      </w:r>
    </w:p>
    <w:p>
      <w:pPr>
        <w:numPr>
          <w:ilvl w:val="0"/>
          <w:numId w:val="1"/>
        </w:numPr>
        <w:spacing w:before="0" w:after="0" w:line="240" w:lineRule="auto"/>
        <w:jc w:val="left"/>
        <w:rPr>
          <w:color w:val="0200C9"/>
          <w:sz w:val="24"/>
          <w:szCs w:val="24"/>
        </w:rPr>
      </w:pPr>
      <w:r>
        <w:rPr>
          <w:color w:val="0200C9"/>
          <w:sz w:val="24"/>
          <w:szCs w:val="24"/>
        </w:rPr>
        <w:t xml:space="preserve">Petto A, Lushaj A, Bounous G, Mal Lushaj B, Mussong M &amp; Tabaku V (2013) Rehabilitative of over-matured sweet chestnut (Castanea sativa Mill.) forests in Tropoja district, Albania. Online International Interdisciplinary Research Journal 3, 87–135; available at: </w:t>
      </w:r>
      <w:hyperlink r:id="rId9907693654ab16a14" w:history="1">
        <w:r>
          <w:rPr>
            <w:color w:val="0200C9"/>
            <w:sz w:val="24"/>
            <w:szCs w:val="24"/>
          </w:rPr>
          <w:t xml:space="preserve">https://www.researchgate.net/publication/258217946_Rehabilitative_of_over-matured_Sweet_Chestnut_Castanea_sativa_Mill_forests_in_Tropoja_district_Albania</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Robin C, Lanz S, Soutrenon A &amp; Rigling D (2010) Dominance of natural over released biological control agents of the chestnut blight fungus Cryphonectria parasitica in south-eastern France is associated with fitness-related traits. Biological Control 53, 55–61;</w:t>
      </w:r>
    </w:p>
    <w:p>
      <w:pPr>
        <w:numPr>
          <w:ilvl w:val="0"/>
          <w:numId w:val="1"/>
        </w:numPr>
        <w:spacing w:before="0" w:after="0" w:line="240" w:lineRule="auto"/>
        <w:jc w:val="left"/>
        <w:rPr>
          <w:color w:val="0200C9"/>
          <w:sz w:val="24"/>
          <w:szCs w:val="24"/>
        </w:rPr>
      </w:pPr>
      <w:r>
        <w:rPr>
          <w:color w:val="0200C9"/>
          <w:sz w:val="24"/>
          <w:szCs w:val="24"/>
        </w:rPr>
        <w:t xml:space="preserve">Tizado EJ, Terron A &amp; Nunez-Perez E (2012) A methodology to evaluate disease severity: a case study of chestnut blight in El Bierzo region (northwestern Spain). Annals of Applied Biology 161, 81–90;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2947899">
    <w:multiLevelType w:val="hybridMultilevel"/>
    <w:lvl w:ilvl="0" w:tplc="78432720">
      <w:start w:val="1"/>
      <w:numFmt w:val="decimal"/>
      <w:lvlText w:val="%1."/>
      <w:lvlJc w:val="left"/>
      <w:pPr>
        <w:ind w:left="720" w:hanging="360"/>
      </w:pPr>
    </w:lvl>
    <w:lvl w:ilvl="1" w:tplc="78432720" w:tentative="1">
      <w:start w:val="1"/>
      <w:numFmt w:val="lowerLetter"/>
      <w:lvlText w:val="%2."/>
      <w:lvlJc w:val="left"/>
      <w:pPr>
        <w:ind w:left="1440" w:hanging="360"/>
      </w:pPr>
    </w:lvl>
    <w:lvl w:ilvl="2" w:tplc="78432720" w:tentative="1">
      <w:start w:val="1"/>
      <w:numFmt w:val="lowerRoman"/>
      <w:lvlText w:val="%3."/>
      <w:lvlJc w:val="right"/>
      <w:pPr>
        <w:ind w:left="2160" w:hanging="180"/>
      </w:pPr>
    </w:lvl>
    <w:lvl w:ilvl="3" w:tplc="78432720" w:tentative="1">
      <w:start w:val="1"/>
      <w:numFmt w:val="decimal"/>
      <w:lvlText w:val="%4."/>
      <w:lvlJc w:val="left"/>
      <w:pPr>
        <w:ind w:left="2880" w:hanging="360"/>
      </w:pPr>
    </w:lvl>
    <w:lvl w:ilvl="4" w:tplc="78432720" w:tentative="1">
      <w:start w:val="1"/>
      <w:numFmt w:val="lowerLetter"/>
      <w:lvlText w:val="%5."/>
      <w:lvlJc w:val="left"/>
      <w:pPr>
        <w:ind w:left="3600" w:hanging="360"/>
      </w:pPr>
    </w:lvl>
    <w:lvl w:ilvl="5" w:tplc="78432720" w:tentative="1">
      <w:start w:val="1"/>
      <w:numFmt w:val="lowerRoman"/>
      <w:lvlText w:val="%6."/>
      <w:lvlJc w:val="right"/>
      <w:pPr>
        <w:ind w:left="4320" w:hanging="180"/>
      </w:pPr>
    </w:lvl>
    <w:lvl w:ilvl="6" w:tplc="78432720" w:tentative="1">
      <w:start w:val="1"/>
      <w:numFmt w:val="decimal"/>
      <w:lvlText w:val="%7."/>
      <w:lvlJc w:val="left"/>
      <w:pPr>
        <w:ind w:left="5040" w:hanging="360"/>
      </w:pPr>
    </w:lvl>
    <w:lvl w:ilvl="7" w:tplc="78432720" w:tentative="1">
      <w:start w:val="1"/>
      <w:numFmt w:val="lowerLetter"/>
      <w:lvlText w:val="%8."/>
      <w:lvlJc w:val="left"/>
      <w:pPr>
        <w:ind w:left="5760" w:hanging="360"/>
      </w:pPr>
    </w:lvl>
    <w:lvl w:ilvl="8" w:tplc="78432720" w:tentative="1">
      <w:start w:val="1"/>
      <w:numFmt w:val="lowerRoman"/>
      <w:lvlText w:val="%9."/>
      <w:lvlJc w:val="right"/>
      <w:pPr>
        <w:ind w:left="6480" w:hanging="180"/>
      </w:pPr>
    </w:lvl>
  </w:abstractNum>
  <w:abstractNum w:abstractNumId="92947898">
    <w:multiLevelType w:val="hybridMultilevel"/>
    <w:lvl w:ilvl="0" w:tplc="7837203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2947898">
    <w:abstractNumId w:val="92947898"/>
  </w:num>
  <w:num w:numId="92947899">
    <w:abstractNumId w:val="9294789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10281333" Type="http://schemas.microsoft.com/office/2011/relationships/commentsExtended" Target="commentsExtended.xml"/><Relationship Id="rId8664693654ab16428" Type="http://schemas.openxmlformats.org/officeDocument/2006/relationships/hyperlink" Target="https://gd.eppo.int/" TargetMode="External"/><Relationship Id="rId6367693654ab1693d" Type="http://schemas.openxmlformats.org/officeDocument/2006/relationships/hyperlink" Target="https://secure.fera.defra.gov.uk/phiw/riskRegister/downloadExternalPra.cfm?id=3860" TargetMode="External"/><Relationship Id="rId8750693654ab169a2" Type="http://schemas.openxmlformats.org/officeDocument/2006/relationships/hyperlink" Target="http://www.efsa.europa.eu/en/efsajournal/doc/3859.pdf" TargetMode="External"/><Relationship Id="rId1426693654ab169cf" Type="http://schemas.openxmlformats.org/officeDocument/2006/relationships/hyperlink" Target="https://www.efsa.europa.eu/en/efsajournal/pub/4641" TargetMode="External"/><Relationship Id="rId9907693654ab16a14" Type="http://schemas.openxmlformats.org/officeDocument/2006/relationships/hyperlink" Target="https://www.researchgate.net/publication/258217946_Rehabilitative_of_over-matured_Sweet_Chestnut_Castanea_sativa_Mill_forests_in_Tropoja_district_Albania"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