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Cryphonectria parasitica ENDOPA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Castanea: In the replies to the RNQP Questionnaire for the forestry sector, ENA only proposed the listing of Castanea sativa. However experts proposed a listing at a level higher than species since at least 8 Castanea spp. are identified as being natural or experimental host plants (EFSA, 2014). Experts of the fruit SEWG agreed with the evaluation proposed by the forestry SEWG on Castanea.</w:t>
      </w:r>
      <w:r>
        <w:rPr>
          <w:color w:val="0200C9"/>
          <w:sz w:val="24"/>
          <w:szCs w:val="24"/>
        </w:rPr>
        <w:br/>
        <w:t xml:space="preserve">Quercus: In the replies to the RNQP Questionnaire for the forestry sector, ENA only proposed the listing of a defined list of species (Quercus suber, Q. rubra, Q. robur, Q. pubescens, Q. petraea, Q. ilex and Q. cerris). However experts proposed a listing at a level higher than species since at least 7 Quercus spp. are identified as being natural or experimental host plants (EFSA, 2014).</w:t>
      </w:r>
      <w:r>
        <w:rPr>
          <w:color w:val="0200C9"/>
          <w:sz w:val="24"/>
          <w:szCs w:val="24"/>
        </w:rPr>
        <w:br/>
        <w:t xml:space="preserve">Remark: Although intraspecific variability is lower in Europe than in North America, there is great variability between different populations at the local and regional level and the result of subsequent sexual recombination produced by the contact of different populations.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(2016); Bulgaria (2013); Croatia (2012); France (2014); France/Corse (1999); Germany (2014); Greece (2016); Greece/Kriti (2006); Hungary (2012); Italy (2014); Italy/Sicilia (2006); Italy/Sardegna (2009); Portugal (2014); Portugal/Azores (2007); Portugal/Madeira (2007); Romania (2013); Slovakia (2014); Slovenia (2012);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80069f57a2111a8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Castanea (1CSNG)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Castanea spp. may be grown for ornamental purposes for landscaping or street trees (e.g. ornamental cultivar C. sativa 'Albomarginata'). However no information was found on the susceptibility of these compared to timber or other uses, so it is suggested that the reasoning from the forestry and fruit sectors for this pest will also apply to ornamental use, as follows: C. parasitica can spread via the movement of infected host plants for planting (rootstocks, scions, grafted plants, self-rooted plants, etc.), particularly asymptomatic. Pruning and grafting tools or other equipment used in chestnut nurseries, orchards or forests may potentially spread the disease locally. C. parasitica propagules (ascospores and conidia) can spread locally by wind and/or rain, but might also occasionally be carried by other agents, such as arthropods and birds. However animal vectors are not considered to play a very important role in disease transmission. Many factors may influence the relative importance of ascospores versus conidia and mycelia as the primary inoculum for initiating new cankers or for disease epidemics. The infection of seedlings has not been demonstrated so far (EFSA, 2014). Because uncertainty exists about the role of ascospores in disease epidemiology, on natural spread by arthropods and birds, and about the distribution of minor hosts, plants for planting are considered to be a significant pathway for the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 parasitica causes cankers, wilt and diebacks, resulting sometimes in the death of its hosts (when on Castanea). Disease incidence ranges from less than 1% in the recently infested areas (such as Germany) to more than 90% in the countries where the pathogen has existed for a long time (e.g. Italy, France, Switzerland, Portugal, etc.). However, there is no direct relationship between disease incidence and impact (EU COM,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several assessments of the potential economic impact depending on the European region considered. The presence of natural hypovirulent strains or more tolerant species must also be taken into account, which means that a uniform response cannot be categorically established at European level (Braganca et al., 2007; Tizado et al., 2012; Bryner et al., 2012). This is why the economic impact is proposed as medium. The presence of the pathogen into the host plant is not acceptable due to its transmission character and to the damage that causes (Anderson et al., 2013).</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sufficient scientific and technical data that make this pathogen meet the criteria for RNQP status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Plants for planting should be considered as a significant pathway compared to other pathway for the introduction of locally aggressive strains, and absence of regulation of this pest/host combination would reduce effectiveness of hypovirulence as control.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C. parasitica is recognised as a quarantine organism:</w:t>
      </w:r>
      <w:r>
        <w:rPr>
          <w:color w:val="0200C9"/>
          <w:sz w:val="24"/>
          <w:szCs w:val="24"/>
        </w:rPr>
        <w:br/>
        <w:t xml:space="preserve">(a) Plants produced in areas known to be free from Cryphonectria parasitica;</w:t>
      </w:r>
      <w:r>
        <w:rPr>
          <w:color w:val="0200C9"/>
          <w:sz w:val="24"/>
          <w:szCs w:val="24"/>
        </w:rPr>
        <w:br/>
        <w:t xml:space="preserve">or</w:t>
      </w:r>
      <w:r>
        <w:rPr>
          <w:color w:val="0200C9"/>
          <w:sz w:val="24"/>
          <w:szCs w:val="24"/>
        </w:rPr>
        <w:br/>
        <w:t xml:space="preserve">(b) No symptoms of Cryphonectria parasitica have been observed at the site of production since the beginning of the last complete cycle of vegetation;</w:t>
      </w:r>
      <w:r>
        <w:rPr>
          <w:color w:val="0200C9"/>
          <w:sz w:val="24"/>
          <w:szCs w:val="24"/>
        </w:rPr>
        <w:br/>
        <w:t xml:space="preserve">or</w:t>
      </w:r>
      <w:r>
        <w:rPr>
          <w:color w:val="0200C9"/>
          <w:sz w:val="24"/>
          <w:szCs w:val="24"/>
        </w:rPr>
        <w:br/>
        <w:t xml:space="preserve">(c) Plants showing symptoms of Cryphonectria parasitica have been rogued out, remaining plants inspected at weekly intervals and no symptoms have been observed at the site of production for at least three weeks before dispatch.</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Cryphonectria parasitica (Murrill) Barr. EFSA Journal 2014;12(10):3859, 42 pp. doi:10.2903/j.efsa.2014.3859 </w:t>
      </w:r>
      <w:hyperlink r:id="rId327869f57a2111f8a" w:history="1">
        <w:r>
          <w:rPr>
            <w:color w:val="0200C9"/>
            <w:sz w:val="24"/>
            <w:szCs w:val="24"/>
          </w:rPr>
          <w:t xml:space="preserve">http://www.efsa.europa.eu/en/efsajournal/doc/3859.pdf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Cryphonectria parasitica (Murrill) Barr;</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917610">
    <w:multiLevelType w:val="hybridMultilevel"/>
    <w:lvl w:ilvl="0" w:tplc="18814666">
      <w:start w:val="1"/>
      <w:numFmt w:val="decimal"/>
      <w:lvlText w:val="%1."/>
      <w:lvlJc w:val="left"/>
      <w:pPr>
        <w:ind w:left="720" w:hanging="360"/>
      </w:pPr>
    </w:lvl>
    <w:lvl w:ilvl="1" w:tplc="18814666" w:tentative="1">
      <w:start w:val="1"/>
      <w:numFmt w:val="lowerLetter"/>
      <w:lvlText w:val="%2."/>
      <w:lvlJc w:val="left"/>
      <w:pPr>
        <w:ind w:left="1440" w:hanging="360"/>
      </w:pPr>
    </w:lvl>
    <w:lvl w:ilvl="2" w:tplc="18814666" w:tentative="1">
      <w:start w:val="1"/>
      <w:numFmt w:val="lowerRoman"/>
      <w:lvlText w:val="%3."/>
      <w:lvlJc w:val="right"/>
      <w:pPr>
        <w:ind w:left="2160" w:hanging="180"/>
      </w:pPr>
    </w:lvl>
    <w:lvl w:ilvl="3" w:tplc="18814666" w:tentative="1">
      <w:start w:val="1"/>
      <w:numFmt w:val="decimal"/>
      <w:lvlText w:val="%4."/>
      <w:lvlJc w:val="left"/>
      <w:pPr>
        <w:ind w:left="2880" w:hanging="360"/>
      </w:pPr>
    </w:lvl>
    <w:lvl w:ilvl="4" w:tplc="18814666" w:tentative="1">
      <w:start w:val="1"/>
      <w:numFmt w:val="lowerLetter"/>
      <w:lvlText w:val="%5."/>
      <w:lvlJc w:val="left"/>
      <w:pPr>
        <w:ind w:left="3600" w:hanging="360"/>
      </w:pPr>
    </w:lvl>
    <w:lvl w:ilvl="5" w:tplc="18814666" w:tentative="1">
      <w:start w:val="1"/>
      <w:numFmt w:val="lowerRoman"/>
      <w:lvlText w:val="%6."/>
      <w:lvlJc w:val="right"/>
      <w:pPr>
        <w:ind w:left="4320" w:hanging="180"/>
      </w:pPr>
    </w:lvl>
    <w:lvl w:ilvl="6" w:tplc="18814666" w:tentative="1">
      <w:start w:val="1"/>
      <w:numFmt w:val="decimal"/>
      <w:lvlText w:val="%7."/>
      <w:lvlJc w:val="left"/>
      <w:pPr>
        <w:ind w:left="5040" w:hanging="360"/>
      </w:pPr>
    </w:lvl>
    <w:lvl w:ilvl="7" w:tplc="18814666" w:tentative="1">
      <w:start w:val="1"/>
      <w:numFmt w:val="lowerLetter"/>
      <w:lvlText w:val="%8."/>
      <w:lvlJc w:val="left"/>
      <w:pPr>
        <w:ind w:left="5760" w:hanging="360"/>
      </w:pPr>
    </w:lvl>
    <w:lvl w:ilvl="8" w:tplc="18814666" w:tentative="1">
      <w:start w:val="1"/>
      <w:numFmt w:val="lowerRoman"/>
      <w:lvlText w:val="%9."/>
      <w:lvlJc w:val="right"/>
      <w:pPr>
        <w:ind w:left="6480" w:hanging="180"/>
      </w:pPr>
    </w:lvl>
  </w:abstractNum>
  <w:abstractNum w:abstractNumId="85917609">
    <w:multiLevelType w:val="hybridMultilevel"/>
    <w:lvl w:ilvl="0" w:tplc="646870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917609">
    <w:abstractNumId w:val="85917609"/>
  </w:num>
  <w:num w:numId="85917610">
    <w:abstractNumId w:val="859176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7640963" Type="http://schemas.microsoft.com/office/2011/relationships/commentsExtended" Target="commentsExtended.xml"/><Relationship Id="rId680069f57a2111a82" Type="http://schemas.openxmlformats.org/officeDocument/2006/relationships/hyperlink" Target="https://gd.eppo.int/" TargetMode="External"/><Relationship Id="rId327869f57a2111f8a" Type="http://schemas.openxmlformats.org/officeDocument/2006/relationships/hyperlink" Target="http://www.efsa.europa.eu/en/efsajournal/doc/385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