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Cryphonectria parasitica ENDOPA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Castanea: In the replies to the RNQP Questionnaire for the forestry sector, ENA only proposed the listing of Castanea sativa. However experts proposed a listing at a level higher than species since at least 8 Castanea spp. are identified as being natural or experimental host plants (EFSA, 2014). Experts of the fruit SEWG agreed with the evaluation proposed by the forestry SEWG on Castanea.</w:t>
      </w:r>
      <w:r>
        <w:rPr>
          <w:color w:val="0200C9"/>
          <w:sz w:val="24"/>
          <w:szCs w:val="24"/>
        </w:rPr>
        <w:br/>
        <w:t xml:space="preserve">Quercus: In the replies to the RNQP Questionnaire for the forestry sector, ENA only proposed the listing of a defined list of species (Quercus suber, Q. rubra, Q. robur, Q. pubescens, Q. petraea, Q. ilex and Q. cerris). However experts proposed a listing at a level higher than species since at least 7 Quercus spp. are identified as being natural or experimental host plants (EFSA, 2014).</w:t>
      </w:r>
      <w:r>
        <w:rPr>
          <w:color w:val="0200C9"/>
          <w:sz w:val="24"/>
          <w:szCs w:val="24"/>
        </w:rPr>
        <w:br/>
        <w:t xml:space="preserve">Remark: Although intraspecific variability is lower in Europe than in North America, there is great variability between different populations at the local and regional level and the result of subsequent sexual recombination produced by the contact of different populations.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(2016); Bulgaria (2013); Croatia (2012); France (2014); France/Corse (1999); Germany (2014); Greece (2016); Greece/Kriti (2006); Hungary (2012); Italy (2014); Italy/Sicilia (2006); Italy/Sardegna (2009); Portugal (2014); Portugal/Azores (2007); Portugal/Madeira (2007); Romania (2013); Slovakia (2014); Slovenia (2012);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006ae754072ecd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(1CSNG)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Castanea spp. may be grown for ornamental purposes for landscaping or street trees (e.g. ornamental cultivar C. sativa 'Albomarginata'). However no information was found on the susceptibility of these compared to timber or other uses, so it is suggested that the reasoning from the forestry and fruit sectors for this pest will also apply to ornamental use, as follows: 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The infection of seedlings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C. parasitica is recognised as a quarantine organism:</w:t>
      </w:r>
      <w:r>
        <w:rPr>
          <w:color w:val="0200C9"/>
          <w:sz w:val="24"/>
          <w:szCs w:val="24"/>
        </w:rPr>
        <w:b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17786ae754072f01e"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70956">
    <w:multiLevelType w:val="hybridMultilevel"/>
    <w:lvl w:ilvl="0" w:tplc="36664506">
      <w:start w:val="1"/>
      <w:numFmt w:val="decimal"/>
      <w:lvlText w:val="%1."/>
      <w:lvlJc w:val="left"/>
      <w:pPr>
        <w:ind w:left="720" w:hanging="360"/>
      </w:pPr>
    </w:lvl>
    <w:lvl w:ilvl="1" w:tplc="36664506" w:tentative="1">
      <w:start w:val="1"/>
      <w:numFmt w:val="lowerLetter"/>
      <w:lvlText w:val="%2."/>
      <w:lvlJc w:val="left"/>
      <w:pPr>
        <w:ind w:left="1440" w:hanging="360"/>
      </w:pPr>
    </w:lvl>
    <w:lvl w:ilvl="2" w:tplc="36664506" w:tentative="1">
      <w:start w:val="1"/>
      <w:numFmt w:val="lowerRoman"/>
      <w:lvlText w:val="%3."/>
      <w:lvlJc w:val="right"/>
      <w:pPr>
        <w:ind w:left="2160" w:hanging="180"/>
      </w:pPr>
    </w:lvl>
    <w:lvl w:ilvl="3" w:tplc="36664506" w:tentative="1">
      <w:start w:val="1"/>
      <w:numFmt w:val="decimal"/>
      <w:lvlText w:val="%4."/>
      <w:lvlJc w:val="left"/>
      <w:pPr>
        <w:ind w:left="2880" w:hanging="360"/>
      </w:pPr>
    </w:lvl>
    <w:lvl w:ilvl="4" w:tplc="36664506" w:tentative="1">
      <w:start w:val="1"/>
      <w:numFmt w:val="lowerLetter"/>
      <w:lvlText w:val="%5."/>
      <w:lvlJc w:val="left"/>
      <w:pPr>
        <w:ind w:left="3600" w:hanging="360"/>
      </w:pPr>
    </w:lvl>
    <w:lvl w:ilvl="5" w:tplc="36664506" w:tentative="1">
      <w:start w:val="1"/>
      <w:numFmt w:val="lowerRoman"/>
      <w:lvlText w:val="%6."/>
      <w:lvlJc w:val="right"/>
      <w:pPr>
        <w:ind w:left="4320" w:hanging="180"/>
      </w:pPr>
    </w:lvl>
    <w:lvl w:ilvl="6" w:tplc="36664506" w:tentative="1">
      <w:start w:val="1"/>
      <w:numFmt w:val="decimal"/>
      <w:lvlText w:val="%7."/>
      <w:lvlJc w:val="left"/>
      <w:pPr>
        <w:ind w:left="5040" w:hanging="360"/>
      </w:pPr>
    </w:lvl>
    <w:lvl w:ilvl="7" w:tplc="36664506" w:tentative="1">
      <w:start w:val="1"/>
      <w:numFmt w:val="lowerLetter"/>
      <w:lvlText w:val="%8."/>
      <w:lvlJc w:val="left"/>
      <w:pPr>
        <w:ind w:left="5760" w:hanging="360"/>
      </w:pPr>
    </w:lvl>
    <w:lvl w:ilvl="8" w:tplc="36664506" w:tentative="1">
      <w:start w:val="1"/>
      <w:numFmt w:val="lowerRoman"/>
      <w:lvlText w:val="%9."/>
      <w:lvlJc w:val="right"/>
      <w:pPr>
        <w:ind w:left="6480" w:hanging="180"/>
      </w:pPr>
    </w:lvl>
  </w:abstractNum>
  <w:abstractNum w:abstractNumId="55770955">
    <w:multiLevelType w:val="hybridMultilevel"/>
    <w:lvl w:ilvl="0" w:tplc="42482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70955">
    <w:abstractNumId w:val="55770955"/>
  </w:num>
  <w:num w:numId="55770956">
    <w:abstractNumId w:val="55770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9903162" Type="http://schemas.microsoft.com/office/2011/relationships/commentsExtended" Target="commentsExtended.xml"/><Relationship Id="rId20006ae754072ecda" Type="http://schemas.openxmlformats.org/officeDocument/2006/relationships/hyperlink" Target="https://gd.eppo.int/" TargetMode="External"/><Relationship Id="rId17786ae754072f01e" Type="http://schemas.openxmlformats.org/officeDocument/2006/relationships/hyperlink" Target="http://www.efsa.europa.eu/en/efsajournal/doc/385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