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fuscans subsp. fuscans (NULL2)</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phaseoli</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disease named “common blight of beans” (CBB) was formerly identified as Xanthomonas campestris pv. phaseoli. Nowadays the causal agents of CBB have proven to be genetically diverse. There are several strains belonging to two species currently known as Xanthomonas fuscans subsp. fuscans (Xff) and Xanthomonas axonopodis pv. phaseoli (Xap) (EU COM, 2015). As a conclusion, the RNQP methodology is applied for Xff as well as for Xap.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common bean blight (CBB) is largely present in the EU. The two pathogens, Xanthomonas axonopodis pv. phaseoli and Xanthomonas fuscans subsp. fuscans are described together as responsible for the common bean blight (CBB).</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(1PHSG)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two pathogens, Xanthomonas axonopodis pv. phaseoli and Xanthomonas fuscans subsp. fuscans are not separated during the EFSA analysis and are described together as common bean blight (CBB). Under temperate climate conditions, contaminated seeds are the primary inoculum source for CBB agents and as few as one contaminated seed in a lot of 10 000 seeds is capable of causing an outbreak of CBB. A threshold between 100 and 1 000 bacteria per seed is required to successfully contaminate the plantlet. In general, heavily contaminated seeds presenting symptoms are removed from seed lots during the sorting and cleaning operations of seed production and so most contaminated seeds in commercial seed lots may be symptomless. The survival CBB agents in crop residues is the subject of debate, possible in tropical conditions but in temperate climates the ability of Xap/Xff to survive in infested plant debris is not clear, as reports are contradictory. Under temperate climate conditions, CBB agents may not survive on weeds in fields or may survive only for a short period. Hence, contaminated weeds are not considered as an important inoculum source for CBB (EFSA PLH, 2014). The primary pathway is plants for planting; natural spread over long distances doesn’t occur (EU COM, 2015).</w:t>
      </w:r>
      <w:r>
        <w:rPr>
          <w:color w:val="0200C9"/>
          <w:sz w:val="24"/>
          <w:szCs w:val="24"/>
        </w:rPr>
        <w:br/>
        <w:t xml:space="preserve">In conclusion, for Xanthomonas fuscans subsp. fuscans, seed is a pathway and can be considered as a significant pathway compared to other potential sources of infection.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common blight of bean (CBB), caused by Xap and/or Xff is the most devastating bacterial disease of common bean and one of the five major diseases of this crop. It can cause significant yield losses, as yield losses from 10 % to 40% in susceptible genotypes have been reported. Yield losses of 40% were reported on local varieties in the south of Italy. Seed quality losses impact not only, directly, bean production for consumption but also the seed industry worldwide, as sorting and cleaning methods have indirect costs. The disease affects yield by limiting leaf area and hence leaf chlorophyll absorption. This disease also affects the marketability of the fresh material. Symptomatic pods and seeds cannot be sold. The very presence of the bacteria in seeds, even in the absence of symptoms, is sufficient to ban their trade to disease-free areas. CBB-affected seeds also have reduced germination capacity, which can have adverse effects on valuable plant genetic material (EFSA 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seeds originate in areas known to be free from Xanthomonas fuscans subsp. fuscans;</w:t>
      </w:r>
      <w:r>
        <w:rPr>
          <w:color w:val="0200C9"/>
          <w:sz w:val="24"/>
          <w:szCs w:val="24"/>
        </w:rPr>
        <w:br/>
        <w:t xml:space="preserve">or</w:t>
      </w:r>
      <w:r>
        <w:rPr>
          <w:color w:val="0200C9"/>
          <w:sz w:val="24"/>
          <w:szCs w:val="24"/>
        </w:rPr>
        <w:br/>
        <w:t xml:space="preserve">(b) The crop from which the seed was harvested was inspected at appropriate times during the growing season and found free from Xanthomonas fuscans subsp. fuscans;</w:t>
      </w:r>
      <w:r>
        <w:rPr>
          <w:color w:val="0200C9"/>
          <w:sz w:val="24"/>
          <w:szCs w:val="24"/>
        </w:rPr>
        <w:br/>
        <w:t xml:space="preserve">or</w:t>
      </w:r>
      <w:r>
        <w:rPr>
          <w:color w:val="0200C9"/>
          <w:sz w:val="24"/>
          <w:szCs w:val="24"/>
        </w:rPr>
        <w:br/>
        <w:t xml:space="preserve">(c) A representative sample of the seeds has been tested and found free from Xanthomonas fuscans subsp. fuscans in these tests.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Same measures are proposed for Xanthomonas axonopodis pv. phaseoli and Xanthomonas fuscans subsp. fuscans.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Xanthomonas campestris pv. phaseoli (Smith) Dye;</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Xanthomonas axonopodis pv. phaseoli and Xanthomonas fuscans subsp. fuscans. EFSA Journal 2014;12(10):3856, 30 pp. doi:10.2903/j.efsa.2014.3856;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476369">
    <w:multiLevelType w:val="hybridMultilevel"/>
    <w:lvl w:ilvl="0" w:tplc="15942577">
      <w:start w:val="1"/>
      <w:numFmt w:val="decimal"/>
      <w:lvlText w:val="%1."/>
      <w:lvlJc w:val="left"/>
      <w:pPr>
        <w:ind w:left="720" w:hanging="360"/>
      </w:pPr>
    </w:lvl>
    <w:lvl w:ilvl="1" w:tplc="15942577" w:tentative="1">
      <w:start w:val="1"/>
      <w:numFmt w:val="lowerLetter"/>
      <w:lvlText w:val="%2."/>
      <w:lvlJc w:val="left"/>
      <w:pPr>
        <w:ind w:left="1440" w:hanging="360"/>
      </w:pPr>
    </w:lvl>
    <w:lvl w:ilvl="2" w:tplc="15942577" w:tentative="1">
      <w:start w:val="1"/>
      <w:numFmt w:val="lowerRoman"/>
      <w:lvlText w:val="%3."/>
      <w:lvlJc w:val="right"/>
      <w:pPr>
        <w:ind w:left="2160" w:hanging="180"/>
      </w:pPr>
    </w:lvl>
    <w:lvl w:ilvl="3" w:tplc="15942577" w:tentative="1">
      <w:start w:val="1"/>
      <w:numFmt w:val="decimal"/>
      <w:lvlText w:val="%4."/>
      <w:lvlJc w:val="left"/>
      <w:pPr>
        <w:ind w:left="2880" w:hanging="360"/>
      </w:pPr>
    </w:lvl>
    <w:lvl w:ilvl="4" w:tplc="15942577" w:tentative="1">
      <w:start w:val="1"/>
      <w:numFmt w:val="lowerLetter"/>
      <w:lvlText w:val="%5."/>
      <w:lvlJc w:val="left"/>
      <w:pPr>
        <w:ind w:left="3600" w:hanging="360"/>
      </w:pPr>
    </w:lvl>
    <w:lvl w:ilvl="5" w:tplc="15942577" w:tentative="1">
      <w:start w:val="1"/>
      <w:numFmt w:val="lowerRoman"/>
      <w:lvlText w:val="%6."/>
      <w:lvlJc w:val="right"/>
      <w:pPr>
        <w:ind w:left="4320" w:hanging="180"/>
      </w:pPr>
    </w:lvl>
    <w:lvl w:ilvl="6" w:tplc="15942577" w:tentative="1">
      <w:start w:val="1"/>
      <w:numFmt w:val="decimal"/>
      <w:lvlText w:val="%7."/>
      <w:lvlJc w:val="left"/>
      <w:pPr>
        <w:ind w:left="5040" w:hanging="360"/>
      </w:pPr>
    </w:lvl>
    <w:lvl w:ilvl="7" w:tplc="15942577" w:tentative="1">
      <w:start w:val="1"/>
      <w:numFmt w:val="lowerLetter"/>
      <w:lvlText w:val="%8."/>
      <w:lvlJc w:val="left"/>
      <w:pPr>
        <w:ind w:left="5760" w:hanging="360"/>
      </w:pPr>
    </w:lvl>
    <w:lvl w:ilvl="8" w:tplc="15942577" w:tentative="1">
      <w:start w:val="1"/>
      <w:numFmt w:val="lowerRoman"/>
      <w:lvlText w:val="%9."/>
      <w:lvlJc w:val="right"/>
      <w:pPr>
        <w:ind w:left="6480" w:hanging="180"/>
      </w:pPr>
    </w:lvl>
  </w:abstractNum>
  <w:abstractNum w:abstractNumId="52476368">
    <w:multiLevelType w:val="hybridMultilevel"/>
    <w:lvl w:ilvl="0" w:tplc="400765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476368">
    <w:abstractNumId w:val="52476368"/>
  </w:num>
  <w:num w:numId="52476369">
    <w:abstractNumId w:val="524763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938644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