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38469f57844ae292"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Viruses infect host plants systemically and all plant parts, including parts used for vegetative propagation (Bos, 1999). CLRV is a graft transmissible agent (EFSA, 2014), which is transmitted through the vegetative multiplication of infected host plants. CLRV can spread via pollen and seed, by nature, at variable rate allowing effective intra-specific dispersal of the virus in many of the host plants. It is seed-borne in birch, walnut, cherry, eldeberry, elm, olive and wild potato. Strains in walnut and birch can be pollen-transmitted to receptive host plants. However, no information is available on this mode of transmission in other natural hosts, including grapevine. Vector transmission by nematodes and insects has not been demonstrated (Buttner et al., 2011, Rebenstorf et al., 2006). CLRV is easily transmitted by water in greenhouse experiments from herbaceous to herbaceous plants, but it would probably be less efficient under natural conditions (Bandte et al., 2007).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CLRV is associated with fanleaf like symptoms on grapevines-infectious degeneration diseases (Martelli &amp; Boudon-Padieu, 2006). Infectious degeneration disease is one of the most severe viral disease complexes of grapevine worldwide. This disease is known to affect grapevines in all temperate regions where Vitis vinifera and hybrid rootstocks are grown. Infected grapevines exhibit a progressive degeneration (causal agents European and Mediterranean nepoviruses), which leads to a shortened productive lifespan of the affected vineyards by reducing yield (up to 80%) and quality, often ending in vine death. Fruit clusters are often smaller and fewer in number and exhibit irregular ripening and poor berry set. All nepoviruses involved in fanleaf degeneration/decline can cause similar symptoms (Oliver &amp; Fuchs, 2011). Infected propagation materials may show reduced ability to root or poor graft take. The symptoms of CLRV infected grapevine include leaf yellowing, chlorosis and yellow leaf mosaic, additionally the berries drop off or remain small in Germany (Ipach et al., 2003). The symptoms on grapevines reported in Poland consist of leaf distortion, discoloration and mottling, downward rolling, as well as poor fruit setting, irregular ripening and reduced size of the berries. But majority of the CLRV infected samples were subject to mixed infections with other viruses (GLRaV-1,-2-3,-5, RSPaV, GVA, GVB, GFLV, GFkV) (Komorowska et al., 2012). Unfortunately, because there has been no systematic study on the prevalence, distribution, biology and impact of CLRV on grapevine as a new host, there is very limited information.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unacceptable in relation to crop losses in yield and quality, extra costs of specific testing and replanting of infected vines. CLRV can spread via pollen and seed by nature in many of the host plants, however, no information is available on this mode of transmission in grapevine and some other new hosts. Since grapevines are self-fertile and outcrosses are minimal, seed and pollen transmission of nepoviruses are of only minor importance in grapevine (Oliver and Fuchs, 2011). Population genetics study of CLRV isolates has shown that transfer between different hosts species by pollen is likely to be rare, possibly as a consequence of the need for pollen germination and ovule fertilisation for transmission (EFSA,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presence of CLRV on grapevine in the EU require visual inspection and specific testing for freedom in the production of planting material and breeding of resistant cultivars. CLRV should be included in the list of the pathogen in the production of pathogen-tested material of grapevine varieties and rootstocks. Plants giving positive results in any test should be removed and destroyed immediately. This would add extra costs to nursery stock production and replanting of infected plants in vineyards.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plants (‘standard’): Not more than 5% [reduced from current 10%] of plants showing symptoms of nepoviruses (Arabis mosaic virus, Grapevine fanleaf virus and Cherry leaf roll virus) and not more than 10% of plants showing any virus symptoms and all plants showing symptoms rogued out and destroyed within two weeks.</w:t>
      </w:r>
      <w:r>
        <w:rPr>
          <w:color w:val="0200C9"/>
          <w:sz w:val="24"/>
          <w:szCs w:val="24"/>
        </w:rPr>
        <w:br/>
        <w:t xml:space="preserve">- Pre-basic (‘initial’), basic and certified:</w:t>
      </w:r>
      <w:r>
        <w:rPr>
          <w:color w:val="0200C9"/>
          <w:sz w:val="24"/>
          <w:szCs w:val="24"/>
        </w:rPr>
        <w:br/>
        <w:t xml:space="preserve">Additional measures (in addition to non-certified) could include periodic testing of pre-basic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the testing of Pre-basic material is proposed. Experts agreed with the same recommendations than for the other nepoviruses (even though it is not proved that it can be transmitted by nematodes). As no vector is identified, and no pollen transmission is demonstrated, isolation is not needed.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Bandte M, Eschevarria-Laza H J, Paschek U, Ulrichs C, Pestemer W, Schwarz D &amp; Büttner C (2007) Transmission of plant viruses by water. In Proceedings of the 2nd Columbian Congress for Horticulture, 12-14 Sept. (pp. 31-43). Bogota, Columbia;</w:t>
      </w:r>
    </w:p>
    <w:p>
      <w:pPr>
        <w:numPr>
          <w:ilvl w:val="0"/>
          <w:numId w:val="1"/>
        </w:numPr>
        <w:spacing w:before="0" w:after="0" w:line="240" w:lineRule="auto"/>
        <w:jc w:val="left"/>
        <w:rPr>
          <w:color w:val="0200C9"/>
          <w:sz w:val="24"/>
          <w:szCs w:val="24"/>
        </w:rPr>
      </w:pPr>
      <w:r>
        <w:rPr>
          <w:color w:val="0200C9"/>
          <w:sz w:val="24"/>
          <w:szCs w:val="24"/>
        </w:rPr>
        <w:t xml:space="preserve">Blouin A G, Pearson M N, Chavan R R, Woo E N Y, Lebas B S M, Veerakone S, Ratti C, Biccheri R, MacDiarmid R M &amp; Cohen D (2013) Viruses of kiwifruit (Actinidia species). Journal of Plant Pathology 95, 221-235;</w:t>
      </w:r>
    </w:p>
    <w:p>
      <w:pPr>
        <w:numPr>
          <w:ilvl w:val="0"/>
          <w:numId w:val="1"/>
        </w:numPr>
        <w:spacing w:before="0" w:after="0" w:line="240" w:lineRule="auto"/>
        <w:jc w:val="left"/>
        <w:rPr>
          <w:color w:val="0200C9"/>
          <w:sz w:val="24"/>
          <w:szCs w:val="24"/>
        </w:rPr>
      </w:pPr>
      <w:r>
        <w:rPr>
          <w:color w:val="0200C9"/>
          <w:sz w:val="24"/>
          <w:szCs w:val="24"/>
        </w:rPr>
        <w:t xml:space="preserve">Bos L (1999) Plant viruses, unique and intriguing pathogens. Backhuys Publishers Leiden.</w:t>
      </w:r>
    </w:p>
    <w:p>
      <w:pPr>
        <w:numPr>
          <w:ilvl w:val="0"/>
          <w:numId w:val="1"/>
        </w:numPr>
        <w:spacing w:before="0" w:after="0" w:line="240" w:lineRule="auto"/>
        <w:jc w:val="left"/>
        <w:rPr>
          <w:color w:val="0200C9"/>
          <w:sz w:val="24"/>
          <w:szCs w:val="24"/>
        </w:rPr>
      </w:pPr>
      <w:r>
        <w:rPr>
          <w:color w:val="0200C9"/>
          <w:sz w:val="24"/>
          <w:szCs w:val="24"/>
        </w:rPr>
        <w:t xml:space="preserve">Büttner C, von Bargen S, Bandte M &amp; Myrta A (2011) Cherry leaf roll virus. In: Hadidi A, Barba M, Candresse T, Jelkmann W. (Eds.), Virus and Virus-Like Diseases of Pome and Stone Fruits. APS Press, St. Paul, USA, pp. 119–125;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935369f57844ae774"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numPr>
          <w:ilvl w:val="0"/>
          <w:numId w:val="1"/>
        </w:numPr>
        <w:spacing w:before="0" w:after="0" w:line="240" w:lineRule="auto"/>
        <w:jc w:val="left"/>
        <w:rPr>
          <w:color w:val="0200C9"/>
          <w:sz w:val="24"/>
          <w:szCs w:val="24"/>
        </w:rPr>
      </w:pPr>
      <w:r>
        <w:rPr>
          <w:color w:val="0200C9"/>
          <w:sz w:val="24"/>
          <w:szCs w:val="24"/>
        </w:rPr>
        <w:t xml:space="preserve">Herrera M &amp; Madariaga V M (2001) Presence and incidence of grapevine viruses in the central zone of Chile. Agricultura Técnica, 61(4), 393-400. [Review of Plant Pathology 81(9), September 2002, abst. 8532, p 1213];</w:t>
      </w:r>
    </w:p>
    <w:p>
      <w:pPr>
        <w:numPr>
          <w:ilvl w:val="0"/>
          <w:numId w:val="1"/>
        </w:numPr>
        <w:spacing w:before="0" w:after="0" w:line="240" w:lineRule="auto"/>
        <w:jc w:val="left"/>
        <w:rPr>
          <w:color w:val="0200C9"/>
          <w:sz w:val="24"/>
          <w:szCs w:val="24"/>
        </w:rPr>
      </w:pPr>
      <w:r>
        <w:rPr>
          <w:color w:val="0200C9"/>
          <w:sz w:val="24"/>
          <w:szCs w:val="24"/>
        </w:rPr>
        <w:t xml:space="preserve">Ipach U, Kling L &amp; Lesemann D (2003) First record of Cherry leaf roll virus in Germany. Extended abstracts of the 14th ICVG Conference, Locorotondo, Italy, 12-17th September, 2003: 17-18;</w:t>
      </w:r>
    </w:p>
    <w:p>
      <w:pPr>
        <w:numPr>
          <w:ilvl w:val="0"/>
          <w:numId w:val="1"/>
        </w:numPr>
        <w:spacing w:before="0" w:after="0" w:line="240" w:lineRule="auto"/>
        <w:jc w:val="left"/>
        <w:rPr>
          <w:color w:val="0200C9"/>
          <w:sz w:val="24"/>
          <w:szCs w:val="24"/>
        </w:rPr>
      </w:pPr>
      <w:r>
        <w:rPr>
          <w:color w:val="0200C9"/>
          <w:sz w:val="24"/>
          <w:szCs w:val="24"/>
        </w:rPr>
        <w:t xml:space="preserve">Komorowska B, Golis T &amp; Berniak H (2012) Survey of Grapevine Viruses in Poland. Proceeding of the 17th Congress of ICVG, Davis, California, USA, 7-14th Octobar, 2012: 206-207;</w:t>
      </w:r>
    </w:p>
    <w:p>
      <w:pPr>
        <w:numPr>
          <w:ilvl w:val="0"/>
          <w:numId w:val="1"/>
        </w:numPr>
        <w:spacing w:before="0" w:after="0" w:line="240" w:lineRule="auto"/>
        <w:jc w:val="left"/>
        <w:rPr>
          <w:color w:val="0200C9"/>
          <w:sz w:val="24"/>
          <w:szCs w:val="24"/>
        </w:rPr>
      </w:pPr>
      <w:r>
        <w:rPr>
          <w:color w:val="0200C9"/>
          <w:sz w:val="24"/>
          <w:szCs w:val="24"/>
        </w:rPr>
        <w:t xml:space="preserve">Martelli G P &amp; Boudon-Padieu E (2006) Directory of infectious diseases of grapevines. International Council for the Study of Virus and Virus-like Diseases of Grapevines: 1-280;</w:t>
      </w:r>
    </w:p>
    <w:p>
      <w:pPr>
        <w:numPr>
          <w:ilvl w:val="0"/>
          <w:numId w:val="1"/>
        </w:numPr>
        <w:spacing w:before="0" w:after="0" w:line="240" w:lineRule="auto"/>
        <w:jc w:val="left"/>
        <w:rPr>
          <w:color w:val="0200C9"/>
          <w:sz w:val="24"/>
          <w:szCs w:val="24"/>
        </w:rPr>
      </w:pPr>
      <w:r>
        <w:rPr>
          <w:color w:val="0200C9"/>
          <w:sz w:val="24"/>
          <w:szCs w:val="24"/>
        </w:rPr>
        <w:t xml:space="preserve">Oliver J E, Fuchs M F (2011) Fanleaf degeneration/decline disease of grapevines. Available at: www.nysipm.cornell.edu/factsheets/grapes/diseases/fanleaf.pdf 2011;</w:t>
      </w:r>
    </w:p>
    <w:p>
      <w:pPr>
        <w:numPr>
          <w:ilvl w:val="0"/>
          <w:numId w:val="1"/>
        </w:numPr>
        <w:spacing w:before="0" w:after="0" w:line="240" w:lineRule="auto"/>
        <w:jc w:val="left"/>
        <w:rPr>
          <w:color w:val="0200C9"/>
          <w:sz w:val="24"/>
          <w:szCs w:val="24"/>
        </w:rPr>
      </w:pPr>
      <w:r>
        <w:rPr>
          <w:color w:val="0200C9"/>
          <w:sz w:val="24"/>
          <w:szCs w:val="24"/>
        </w:rPr>
        <w:t xml:space="preserve">Woo E N Y &amp; Pearson M N (2014) Biological and molecular variation of Cherry leaf roll virus isolates from Malus domestica, Ribes rubrum, Rubus idaeus, Rumex obtusifolius and Vaccinium darrowii. Plant Pathology 63, 838–845;</w:t>
      </w:r>
    </w:p>
    <w:p>
      <w:pPr>
        <w:numPr>
          <w:ilvl w:val="0"/>
          <w:numId w:val="1"/>
        </w:numPr>
        <w:spacing w:before="0" w:after="0" w:line="240" w:lineRule="auto"/>
        <w:jc w:val="left"/>
        <w:rPr>
          <w:color w:val="0200C9"/>
          <w:sz w:val="24"/>
          <w:szCs w:val="24"/>
        </w:rPr>
      </w:pPr>
      <w:r>
        <w:rPr>
          <w:color w:val="0200C9"/>
          <w:sz w:val="24"/>
          <w:szCs w:val="24"/>
        </w:rPr>
        <w:t xml:space="preserve">Woo E N Y, Ward L I &amp; Pearson M N (2013) First report of Cherry leaf roll virus in Vaccinium darrowii. New Disease Reports, 27: 16;</w:t>
      </w:r>
    </w:p>
    <w:p>
      <w:pPr>
        <w:numPr>
          <w:ilvl w:val="0"/>
          <w:numId w:val="1"/>
        </w:numPr>
        <w:spacing w:before="0" w:after="0" w:line="240" w:lineRule="auto"/>
        <w:jc w:val="left"/>
        <w:rPr>
          <w:color w:val="0200C9"/>
          <w:sz w:val="24"/>
          <w:szCs w:val="24"/>
        </w:rPr>
      </w:pPr>
      <w:r>
        <w:rPr>
          <w:color w:val="0200C9"/>
          <w:sz w:val="24"/>
          <w:szCs w:val="24"/>
        </w:rPr>
        <w:t xml:space="preserve">Woo E N Y, Clover G R G, Pearson M N (2012) First report of Cherry leaf roll virus (CLRV) in Malus domestica. Australian Plant Disease Notes 7, 151-156;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454126">
    <w:multiLevelType w:val="hybridMultilevel"/>
    <w:lvl w:ilvl="0" w:tplc="93368679">
      <w:start w:val="1"/>
      <w:numFmt w:val="decimal"/>
      <w:lvlText w:val="%1."/>
      <w:lvlJc w:val="left"/>
      <w:pPr>
        <w:ind w:left="720" w:hanging="360"/>
      </w:pPr>
    </w:lvl>
    <w:lvl w:ilvl="1" w:tplc="93368679" w:tentative="1">
      <w:start w:val="1"/>
      <w:numFmt w:val="lowerLetter"/>
      <w:lvlText w:val="%2."/>
      <w:lvlJc w:val="left"/>
      <w:pPr>
        <w:ind w:left="1440" w:hanging="360"/>
      </w:pPr>
    </w:lvl>
    <w:lvl w:ilvl="2" w:tplc="93368679" w:tentative="1">
      <w:start w:val="1"/>
      <w:numFmt w:val="lowerRoman"/>
      <w:lvlText w:val="%3."/>
      <w:lvlJc w:val="right"/>
      <w:pPr>
        <w:ind w:left="2160" w:hanging="180"/>
      </w:pPr>
    </w:lvl>
    <w:lvl w:ilvl="3" w:tplc="93368679" w:tentative="1">
      <w:start w:val="1"/>
      <w:numFmt w:val="decimal"/>
      <w:lvlText w:val="%4."/>
      <w:lvlJc w:val="left"/>
      <w:pPr>
        <w:ind w:left="2880" w:hanging="360"/>
      </w:pPr>
    </w:lvl>
    <w:lvl w:ilvl="4" w:tplc="93368679" w:tentative="1">
      <w:start w:val="1"/>
      <w:numFmt w:val="lowerLetter"/>
      <w:lvlText w:val="%5."/>
      <w:lvlJc w:val="left"/>
      <w:pPr>
        <w:ind w:left="3600" w:hanging="360"/>
      </w:pPr>
    </w:lvl>
    <w:lvl w:ilvl="5" w:tplc="93368679" w:tentative="1">
      <w:start w:val="1"/>
      <w:numFmt w:val="lowerRoman"/>
      <w:lvlText w:val="%6."/>
      <w:lvlJc w:val="right"/>
      <w:pPr>
        <w:ind w:left="4320" w:hanging="180"/>
      </w:pPr>
    </w:lvl>
    <w:lvl w:ilvl="6" w:tplc="93368679" w:tentative="1">
      <w:start w:val="1"/>
      <w:numFmt w:val="decimal"/>
      <w:lvlText w:val="%7."/>
      <w:lvlJc w:val="left"/>
      <w:pPr>
        <w:ind w:left="5040" w:hanging="360"/>
      </w:pPr>
    </w:lvl>
    <w:lvl w:ilvl="7" w:tplc="93368679" w:tentative="1">
      <w:start w:val="1"/>
      <w:numFmt w:val="lowerLetter"/>
      <w:lvlText w:val="%8."/>
      <w:lvlJc w:val="left"/>
      <w:pPr>
        <w:ind w:left="5760" w:hanging="360"/>
      </w:pPr>
    </w:lvl>
    <w:lvl w:ilvl="8" w:tplc="93368679" w:tentative="1">
      <w:start w:val="1"/>
      <w:numFmt w:val="lowerRoman"/>
      <w:lvlText w:val="%9."/>
      <w:lvlJc w:val="right"/>
      <w:pPr>
        <w:ind w:left="6480" w:hanging="180"/>
      </w:pPr>
    </w:lvl>
  </w:abstractNum>
  <w:abstractNum w:abstractNumId="43454125">
    <w:multiLevelType w:val="hybridMultilevel"/>
    <w:lvl w:ilvl="0" w:tplc="522626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454125">
    <w:abstractNumId w:val="43454125"/>
  </w:num>
  <w:num w:numId="43454126">
    <w:abstractNumId w:val="434541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2660708" Type="http://schemas.microsoft.com/office/2011/relationships/commentsExtended" Target="commentsExtended.xml"/><Relationship Id="rId838469f57844ae292" Type="http://schemas.openxmlformats.org/officeDocument/2006/relationships/hyperlink" Target="https://gd.eppo.int/" TargetMode="External"/><Relationship Id="rId935369f57844ae774" Type="http://schemas.openxmlformats.org/officeDocument/2006/relationships/hyperlink" Target="http://www.efsa.europa.eu/en/efsajournal/doc/384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