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ulmi (Elm phloem necrosis phytoplasma) (PHYPUL)</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replying to the RNQP Questionnaire for the Forestry Sector, ENA only proposed the listing of Ulmus procera. However ENA confirmed later by email that they would agree with a listing at a level higher than species: Host range is confined to the family Ulmaceae, and mostly to the Ulmus genus. At least 13 Ulmus species are considered as host plants (EFSA, 2014). Experts decided to perform the evaluation of the RNQP status for the entire Ulmus genus as well as for Zelkova serrata, belonging to the Ulmaceae family, which is also a host plant (EFSA, 2014) and could be used as rootstock.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Even this pest is listed in annex IA1 (quarantine pest) of Council Directive 2000/29/EC, this pest is a candidate for the RNQP status according to the IIA2AWG. Data of the presence of this pest on the EU territory are available in EPPO Global Database (</w:t>
      </w:r>
      <w:hyperlink r:id="rId368566224048e31a1" w:history="1">
        <w:r>
          <w:rPr>
            <w:color w:val="0200C9"/>
            <w:sz w:val="24"/>
            <w:szCs w:val="24"/>
          </w:rPr>
          <w:t xml:space="preserve">https://gd.eppo.int/</w:t>
        </w:r>
      </w:hyperlink>
      <w:r>
        <w:rPr>
          <w:color w:val="0200C9"/>
          <w:sz w:val="24"/>
          <w:szCs w:val="24"/>
        </w:rPr>
        <w:t xml:space="preserve">). Since no targeted surveys are undertaken, the distribution of CPu in Europe is unclear and suspected to be underestimated (EU COM,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Ulmus (1ULMG)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CPu is graft transmissible and is efficiently transmitted through plant propagation material, which is widely used by nurseries. However, in area where the pest is present, CPu is also transmitted by sap-feeding insects (e.g. Macropsis glandacea, Allygidius furcatus, Cixius sp., Lassus scutellaris). Philaenus spumarius is also identified as a vector. Vectors are persistently and systemically infected after a latent period. Controlling the vectors of CPu is quite impracticable in natural environments (EFSA, 2014). Bonsai elm ornamental are more susceptible than varieties used in forest strands. There is gap of knowledge about host plant sensitivity and the ecology and behavior of vector species. Because of these uncertainties, plant for planting is still considered as a significant pathway compared to other pathways. CPu is still candidate for the RNQP Status.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Cpu has been reported to cause leaf yellowing and epinasty, witches' brooms, phloem degeneration, and root and tree mortality (EFSA, 2014). High impact (plant mortality) is registered in USA. Elm species in European forests are usually considered less susceptible; the symptoms reported are associated with decline but less often with plant mortality. However, sensitive American species are also grown in the EU (EU COM, 2014).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Ornamental Elm may be more susceptible than forest strands.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According to EFSA (2014) and EPPO (1997) controlling the vectors of CPu is quite impracticable in natural environments and it is not possible to cure a plant infected by Cpu.</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feasible and effective measures available.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Elm phloem necrosis mycoplasm. EFSA Journal 2014; 12(7):3773, 34 pp. doi:10.2903/j.efsa.2014.3773". </w:t>
      </w:r>
      <w:hyperlink r:id="rId841066224048e3613" w:history="1">
        <w:r>
          <w:rPr>
            <w:color w:val="0200C9"/>
            <w:sz w:val="24"/>
            <w:szCs w:val="24"/>
          </w:rPr>
          <w:t xml:space="preserve">http://www.efsa.europa.eu/en/efsajournal/doc/3773.pdf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Elm phloem necrosis mycoplasma (renamed Candidatus Phytoplasma ulmi);</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977592">
    <w:multiLevelType w:val="hybridMultilevel"/>
    <w:lvl w:ilvl="0" w:tplc="86392127">
      <w:start w:val="1"/>
      <w:numFmt w:val="decimal"/>
      <w:lvlText w:val="%1."/>
      <w:lvlJc w:val="left"/>
      <w:pPr>
        <w:ind w:left="720" w:hanging="360"/>
      </w:pPr>
    </w:lvl>
    <w:lvl w:ilvl="1" w:tplc="86392127" w:tentative="1">
      <w:start w:val="1"/>
      <w:numFmt w:val="lowerLetter"/>
      <w:lvlText w:val="%2."/>
      <w:lvlJc w:val="left"/>
      <w:pPr>
        <w:ind w:left="1440" w:hanging="360"/>
      </w:pPr>
    </w:lvl>
    <w:lvl w:ilvl="2" w:tplc="86392127" w:tentative="1">
      <w:start w:val="1"/>
      <w:numFmt w:val="lowerRoman"/>
      <w:lvlText w:val="%3."/>
      <w:lvlJc w:val="right"/>
      <w:pPr>
        <w:ind w:left="2160" w:hanging="180"/>
      </w:pPr>
    </w:lvl>
    <w:lvl w:ilvl="3" w:tplc="86392127" w:tentative="1">
      <w:start w:val="1"/>
      <w:numFmt w:val="decimal"/>
      <w:lvlText w:val="%4."/>
      <w:lvlJc w:val="left"/>
      <w:pPr>
        <w:ind w:left="2880" w:hanging="360"/>
      </w:pPr>
    </w:lvl>
    <w:lvl w:ilvl="4" w:tplc="86392127" w:tentative="1">
      <w:start w:val="1"/>
      <w:numFmt w:val="lowerLetter"/>
      <w:lvlText w:val="%5."/>
      <w:lvlJc w:val="left"/>
      <w:pPr>
        <w:ind w:left="3600" w:hanging="360"/>
      </w:pPr>
    </w:lvl>
    <w:lvl w:ilvl="5" w:tplc="86392127" w:tentative="1">
      <w:start w:val="1"/>
      <w:numFmt w:val="lowerRoman"/>
      <w:lvlText w:val="%6."/>
      <w:lvlJc w:val="right"/>
      <w:pPr>
        <w:ind w:left="4320" w:hanging="180"/>
      </w:pPr>
    </w:lvl>
    <w:lvl w:ilvl="6" w:tplc="86392127" w:tentative="1">
      <w:start w:val="1"/>
      <w:numFmt w:val="decimal"/>
      <w:lvlText w:val="%7."/>
      <w:lvlJc w:val="left"/>
      <w:pPr>
        <w:ind w:left="5040" w:hanging="360"/>
      </w:pPr>
    </w:lvl>
    <w:lvl w:ilvl="7" w:tplc="86392127" w:tentative="1">
      <w:start w:val="1"/>
      <w:numFmt w:val="lowerLetter"/>
      <w:lvlText w:val="%8."/>
      <w:lvlJc w:val="left"/>
      <w:pPr>
        <w:ind w:left="5760" w:hanging="360"/>
      </w:pPr>
    </w:lvl>
    <w:lvl w:ilvl="8" w:tplc="86392127" w:tentative="1">
      <w:start w:val="1"/>
      <w:numFmt w:val="lowerRoman"/>
      <w:lvlText w:val="%9."/>
      <w:lvlJc w:val="right"/>
      <w:pPr>
        <w:ind w:left="6480" w:hanging="180"/>
      </w:pPr>
    </w:lvl>
  </w:abstractNum>
  <w:abstractNum w:abstractNumId="51977591">
    <w:multiLevelType w:val="hybridMultilevel"/>
    <w:lvl w:ilvl="0" w:tplc="985577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977591">
    <w:abstractNumId w:val="51977591"/>
  </w:num>
  <w:num w:numId="51977592">
    <w:abstractNumId w:val="5197759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8341731" Type="http://schemas.microsoft.com/office/2011/relationships/commentsExtended" Target="commentsExtended.xml"/><Relationship Id="rId368566224048e31a1" Type="http://schemas.openxmlformats.org/officeDocument/2006/relationships/hyperlink" Target="https://gd.eppo.int/" TargetMode="External"/><Relationship Id="rId841066224048e3613" Type="http://schemas.openxmlformats.org/officeDocument/2006/relationships/hyperlink" Target="http://www.efsa.europa.eu/en/efsajournal/doc/3773.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