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Strawberry vein banding virus SVBV00</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00000"/>
          <w:sz w:val="24"/>
          <w:szCs w:val="24"/>
          <w:u w:val="single"/>
        </w:rPr>
        <w:br/>
        <w:t xml:space="preserve">Pest category:</w:t>
      </w:r>
      <w:r>
        <w:rPr>
          <w:color w:val="000000"/>
          <w:sz w:val="24"/>
          <w:szCs w:val="24"/>
        </w:rPr>
        <w:t xml:space="preserve">
</w:t>
      </w:r>
      <w:r>
        <w:rPr>
          <w:color w:val="0200C9"/>
          <w:sz w:val="24"/>
          <w:szCs w:val="24"/>
        </w:rPr>
        <w:t xml:space="preserve">Viruses and viroids</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0200C9"/>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0200C9"/>
          <w:sz w:val="24"/>
          <w:szCs w:val="24"/>
        </w:rPr>
        <w:t xml:space="preserve">Yes</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Not relevant: Fruits (including hops)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0200C9"/>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Candidate: Fruits (including hops)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0200C9"/>
          <w:sz w:val="24"/>
          <w:szCs w:val="24"/>
        </w:rPr>
        <w:t xml:space="preserve">No</w:t>
      </w:r>
      <w:r>
        <w:rPr>
          <w:color w:val="000000"/>
          <w:sz w:val="24"/>
          <w:szCs w:val="24"/>
          <w:u w:val="single"/>
        </w:rPr>
        <w:br/>
        <w:t xml:space="preserve">Presence in the EU:</w:t>
      </w:r>
      <w:r>
        <w:rPr>
          <w:color w:val="000000"/>
          <w:sz w:val="24"/>
          <w:szCs w:val="24"/>
        </w:rPr>
        <w:t xml:space="preserve">
</w:t>
      </w:r>
      <w:r>
        <w:rPr>
          <w:color w:val="0200C9"/>
          <w:sz w:val="24"/>
          <w:szCs w:val="24"/>
        </w:rPr>
        <w:t xml:space="preserve">Yes</w:t>
      </w:r>
      <w:r>
        <w:rPr>
          <w:color w:val="000000"/>
          <w:sz w:val="24"/>
          <w:szCs w:val="24"/>
          <w:u w:val="single"/>
        </w:rPr>
        <w:br/>
        <w:t xml:space="preserve">List of countries (EPPO Global Database):</w:t>
      </w:r>
      <w:r>
        <w:rPr>
          <w:color w:val="000000"/>
          <w:sz w:val="24"/>
          <w:szCs w:val="24"/>
        </w:rPr>
        <w:t xml:space="preserve">
</w:t>
      </w:r>
      <w:r>
        <w:rPr>
          <w:color w:val="0200C9"/>
          <w:sz w:val="24"/>
          <w:szCs w:val="24"/>
        </w:rPr>
        <w:t xml:space="preserve">Czech Republic (1994); Hungary (1992); Italy (2009); Slovakia (1994)</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This pest is a candidate for the RNQP status according to the IIA2AWG. Data of the presence of this pest on the EU territory are available in EPPO Global Database (</w:t>
      </w:r>
      <w:hyperlink r:id="rId27766aabbc9a01243" w:history="1">
        <w:r>
          <w:rPr>
            <w:color w:val="0200C9"/>
            <w:sz w:val="24"/>
            <w:szCs w:val="24"/>
          </w:rPr>
          <w:t xml:space="preserve">https://gd.eppo.int/</w:t>
        </w:r>
      </w:hyperlink>
      <w:r>
        <w:rPr>
          <w:color w:val="0200C9"/>
          <w:sz w:val="24"/>
          <w:szCs w:val="24"/>
        </w:rPr>
        <w:t xml:space="preserve">).</w:t>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Fragaria (1FRAG)</w:t>
      </w:r>
      <w:r>
        <w:rPr>
          <w:color w:val="000000"/>
          <w:sz w:val="24"/>
          <w:szCs w:val="24"/>
        </w:rPr>
        <w:t xml:space="preserve"> for the Fruits (including hops)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IIA2AWG</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 other than seeds</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149613"/>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149613"/>
          <w:sz w:val="24"/>
          <w:szCs w:val="24"/>
        </w:rPr>
        <w:t xml:space="preserve">Qualified</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Recommended for listing as an RNQP, based on EPPO PM 4 Standard.</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Zero tolerance for all categories based on the following risk management measures.</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Yes</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Based on a visual examination carried out during the last growing season at an appropriate time for the expression of symptoms.</w:t>
      </w:r>
      <w:r>
        <w:rPr>
          <w:color w:val="0200C9"/>
          <w:sz w:val="24"/>
          <w:szCs w:val="24"/>
        </w:rPr>
        <w:br/>
        <w:t xml:space="preserve">- Non-certified material (‘CAC’):</w:t>
      </w:r>
      <w:r>
        <w:rPr>
          <w:color w:val="0200C9"/>
          <w:sz w:val="24"/>
          <w:szCs w:val="24"/>
        </w:rPr>
        <w:br/>
        <w:t xml:space="preserve">(A) Pest Free Area;</w:t>
      </w:r>
      <w:r>
        <w:rPr>
          <w:color w:val="0200C9"/>
          <w:sz w:val="24"/>
          <w:szCs w:val="24"/>
        </w:rPr>
        <w:br/>
        <w:t xml:space="preserve">OR</w:t>
      </w:r>
      <w:r>
        <w:rPr>
          <w:color w:val="0200C9"/>
          <w:sz w:val="24"/>
          <w:szCs w:val="24"/>
        </w:rPr>
        <w:br/>
        <w:t xml:space="preserve">(B) (a) Plants should be derived in a direct line from material which has been tested and found free from the virus;</w:t>
      </w:r>
      <w:r>
        <w:rPr>
          <w:color w:val="0200C9"/>
          <w:sz w:val="24"/>
          <w:szCs w:val="24"/>
        </w:rPr>
        <w:br/>
        <w:t xml:space="preserve">and</w:t>
      </w:r>
      <w:r>
        <w:rPr>
          <w:color w:val="0200C9"/>
          <w:sz w:val="24"/>
          <w:szCs w:val="24"/>
        </w:rPr>
        <w:br/>
        <w:t xml:space="preserve">(b) Plants showing virus symptoms at the site of production should be rogued out and destroyed immediately (or if symptoms are not clear, plants may be tested and need not be destroyed if found free).</w:t>
      </w:r>
      <w:r>
        <w:rPr>
          <w:color w:val="0200C9"/>
          <w:sz w:val="24"/>
          <w:szCs w:val="24"/>
        </w:rPr>
        <w:br/>
        <w:br/>
        <w:t xml:space="preserve">- Pre-basic, Basic, Certified material, additional measures (in addition to non-certified) could include:</w:t>
      </w:r>
      <w:r>
        <w:rPr>
          <w:color w:val="0200C9"/>
          <w:sz w:val="24"/>
          <w:szCs w:val="24"/>
        </w:rPr>
        <w:br/>
        <w:t xml:space="preserve">• Measures to control vectors;</w:t>
      </w:r>
      <w:r>
        <w:rPr>
          <w:color w:val="0200C9"/>
          <w:sz w:val="24"/>
          <w:szCs w:val="24"/>
        </w:rPr>
        <w:br/>
        <w:t xml:space="preserve">• Testing of pre-basic;</w:t>
      </w:r>
      <w:r>
        <w:rPr>
          <w:color w:val="0200C9"/>
          <w:sz w:val="24"/>
          <w:szCs w:val="24"/>
        </w:rPr>
        <w:br/>
        <w:t xml:space="preserve">• Testing of basic e.g. if aphids are found;</w:t>
      </w:r>
      <w:r>
        <w:rPr>
          <w:color w:val="0200C9"/>
          <w:sz w:val="24"/>
          <w:szCs w:val="24"/>
        </w:rPr>
        <w:br/>
        <w:t xml:space="preserve">• Isolation.</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Current import requirements of Council Directive 2000/29/EC already include testing of non-certified mother plants for Strawberry vein banding virus. The coreHEWGplus also discussed the need for introducing testing of non-certified mother plants for Strawberry crinckle virus and Strawberry mild yellow edge virus. Indeed requirements on non-certified material are important in relation to import (most EU material is certified) and the traded material is often asymptomatic.</w:t>
      </w:r>
      <w:r>
        <w:rPr>
          <w:b/>
          <w:bCs/>
          <w:color w:val="000000"/>
          <w:sz w:val="24"/>
          <w:szCs w:val="24"/>
          <w:u w:val="single"/>
        </w:rP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EFSA Panel on Plant Health (PLH) (2014) Scientific Opinion on the pest categorisation of Strawberry vein banding virus. EFSA Journal 2014;12(7):3772, 22 pp. doi:10.2903/j.efsa.2014.3772". </w:t>
      </w:r>
      <w:hyperlink r:id="rId51836aabbc9a01664" w:history="1">
        <w:r>
          <w:rPr>
            <w:color w:val="0200C9"/>
            <w:sz w:val="24"/>
            <w:szCs w:val="24"/>
          </w:rPr>
          <w:t xml:space="preserve">http://www.efsa.europa.eu/en/efsajournal/doc/3772.pdf</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EU COM (2014) Recommendation of the Working Group on the Annexes of the Council Directive 2000/29/EC – Section II – Listing of Harmful Organisms as regards the future listing of Strawberry vein banding virus;</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7769969">
    <w:multiLevelType w:val="hybridMultilevel"/>
    <w:lvl w:ilvl="0" w:tplc="98984370">
      <w:start w:val="1"/>
      <w:numFmt w:val="decimal"/>
      <w:lvlText w:val="%1."/>
      <w:lvlJc w:val="left"/>
      <w:pPr>
        <w:ind w:left="720" w:hanging="360"/>
      </w:pPr>
    </w:lvl>
    <w:lvl w:ilvl="1" w:tplc="98984370" w:tentative="1">
      <w:start w:val="1"/>
      <w:numFmt w:val="lowerLetter"/>
      <w:lvlText w:val="%2."/>
      <w:lvlJc w:val="left"/>
      <w:pPr>
        <w:ind w:left="1440" w:hanging="360"/>
      </w:pPr>
    </w:lvl>
    <w:lvl w:ilvl="2" w:tplc="98984370" w:tentative="1">
      <w:start w:val="1"/>
      <w:numFmt w:val="lowerRoman"/>
      <w:lvlText w:val="%3."/>
      <w:lvlJc w:val="right"/>
      <w:pPr>
        <w:ind w:left="2160" w:hanging="180"/>
      </w:pPr>
    </w:lvl>
    <w:lvl w:ilvl="3" w:tplc="98984370" w:tentative="1">
      <w:start w:val="1"/>
      <w:numFmt w:val="decimal"/>
      <w:lvlText w:val="%4."/>
      <w:lvlJc w:val="left"/>
      <w:pPr>
        <w:ind w:left="2880" w:hanging="360"/>
      </w:pPr>
    </w:lvl>
    <w:lvl w:ilvl="4" w:tplc="98984370" w:tentative="1">
      <w:start w:val="1"/>
      <w:numFmt w:val="lowerLetter"/>
      <w:lvlText w:val="%5."/>
      <w:lvlJc w:val="left"/>
      <w:pPr>
        <w:ind w:left="3600" w:hanging="360"/>
      </w:pPr>
    </w:lvl>
    <w:lvl w:ilvl="5" w:tplc="98984370" w:tentative="1">
      <w:start w:val="1"/>
      <w:numFmt w:val="lowerRoman"/>
      <w:lvlText w:val="%6."/>
      <w:lvlJc w:val="right"/>
      <w:pPr>
        <w:ind w:left="4320" w:hanging="180"/>
      </w:pPr>
    </w:lvl>
    <w:lvl w:ilvl="6" w:tplc="98984370" w:tentative="1">
      <w:start w:val="1"/>
      <w:numFmt w:val="decimal"/>
      <w:lvlText w:val="%7."/>
      <w:lvlJc w:val="left"/>
      <w:pPr>
        <w:ind w:left="5040" w:hanging="360"/>
      </w:pPr>
    </w:lvl>
    <w:lvl w:ilvl="7" w:tplc="98984370" w:tentative="1">
      <w:start w:val="1"/>
      <w:numFmt w:val="lowerLetter"/>
      <w:lvlText w:val="%8."/>
      <w:lvlJc w:val="left"/>
      <w:pPr>
        <w:ind w:left="5760" w:hanging="360"/>
      </w:pPr>
    </w:lvl>
    <w:lvl w:ilvl="8" w:tplc="98984370" w:tentative="1">
      <w:start w:val="1"/>
      <w:numFmt w:val="lowerRoman"/>
      <w:lvlText w:val="%9."/>
      <w:lvlJc w:val="right"/>
      <w:pPr>
        <w:ind w:left="6480" w:hanging="180"/>
      </w:pPr>
    </w:lvl>
  </w:abstractNum>
  <w:abstractNum w:abstractNumId="37769968">
    <w:multiLevelType w:val="hybridMultilevel"/>
    <w:lvl w:ilvl="0" w:tplc="3965117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7769968">
    <w:abstractNumId w:val="37769968"/>
  </w:num>
  <w:num w:numId="37769969">
    <w:abstractNumId w:val="3776996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683658919" Type="http://schemas.microsoft.com/office/2011/relationships/commentsExtended" Target="commentsExtended.xml"/><Relationship Id="rId27766aabbc9a01243" Type="http://schemas.openxmlformats.org/officeDocument/2006/relationships/hyperlink" Target="https://gd.eppo.int/" TargetMode="External"/><Relationship Id="rId51836aabbc9a01664" Type="http://schemas.openxmlformats.org/officeDocument/2006/relationships/hyperlink" Target="http://www.efsa.europa.eu/en/efsajournal/doc/3772.pdf" TargetMode="Externa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