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640662beca226ad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505365">
    <w:multiLevelType w:val="hybridMultilevel"/>
    <w:lvl w:ilvl="0" w:tplc="19270824">
      <w:start w:val="1"/>
      <w:numFmt w:val="decimal"/>
      <w:lvlText w:val="%1."/>
      <w:lvlJc w:val="left"/>
      <w:pPr>
        <w:ind w:left="720" w:hanging="360"/>
      </w:pPr>
    </w:lvl>
    <w:lvl w:ilvl="1" w:tplc="19270824" w:tentative="1">
      <w:start w:val="1"/>
      <w:numFmt w:val="lowerLetter"/>
      <w:lvlText w:val="%2."/>
      <w:lvlJc w:val="left"/>
      <w:pPr>
        <w:ind w:left="1440" w:hanging="360"/>
      </w:pPr>
    </w:lvl>
    <w:lvl w:ilvl="2" w:tplc="19270824" w:tentative="1">
      <w:start w:val="1"/>
      <w:numFmt w:val="lowerRoman"/>
      <w:lvlText w:val="%3."/>
      <w:lvlJc w:val="right"/>
      <w:pPr>
        <w:ind w:left="2160" w:hanging="180"/>
      </w:pPr>
    </w:lvl>
    <w:lvl w:ilvl="3" w:tplc="19270824" w:tentative="1">
      <w:start w:val="1"/>
      <w:numFmt w:val="decimal"/>
      <w:lvlText w:val="%4."/>
      <w:lvlJc w:val="left"/>
      <w:pPr>
        <w:ind w:left="2880" w:hanging="360"/>
      </w:pPr>
    </w:lvl>
    <w:lvl w:ilvl="4" w:tplc="19270824" w:tentative="1">
      <w:start w:val="1"/>
      <w:numFmt w:val="lowerLetter"/>
      <w:lvlText w:val="%5."/>
      <w:lvlJc w:val="left"/>
      <w:pPr>
        <w:ind w:left="3600" w:hanging="360"/>
      </w:pPr>
    </w:lvl>
    <w:lvl w:ilvl="5" w:tplc="19270824" w:tentative="1">
      <w:start w:val="1"/>
      <w:numFmt w:val="lowerRoman"/>
      <w:lvlText w:val="%6."/>
      <w:lvlJc w:val="right"/>
      <w:pPr>
        <w:ind w:left="4320" w:hanging="180"/>
      </w:pPr>
    </w:lvl>
    <w:lvl w:ilvl="6" w:tplc="19270824" w:tentative="1">
      <w:start w:val="1"/>
      <w:numFmt w:val="decimal"/>
      <w:lvlText w:val="%7."/>
      <w:lvlJc w:val="left"/>
      <w:pPr>
        <w:ind w:left="5040" w:hanging="360"/>
      </w:pPr>
    </w:lvl>
    <w:lvl w:ilvl="7" w:tplc="19270824" w:tentative="1">
      <w:start w:val="1"/>
      <w:numFmt w:val="lowerLetter"/>
      <w:lvlText w:val="%8."/>
      <w:lvlJc w:val="left"/>
      <w:pPr>
        <w:ind w:left="5760" w:hanging="360"/>
      </w:pPr>
    </w:lvl>
    <w:lvl w:ilvl="8" w:tplc="19270824" w:tentative="1">
      <w:start w:val="1"/>
      <w:numFmt w:val="lowerRoman"/>
      <w:lvlText w:val="%9."/>
      <w:lvlJc w:val="right"/>
      <w:pPr>
        <w:ind w:left="6480" w:hanging="180"/>
      </w:pPr>
    </w:lvl>
  </w:abstractNum>
  <w:abstractNum w:abstractNumId="88505364">
    <w:multiLevelType w:val="hybridMultilevel"/>
    <w:lvl w:ilvl="0" w:tplc="383711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505364">
    <w:abstractNumId w:val="88505364"/>
  </w:num>
  <w:num w:numId="88505365">
    <w:abstractNumId w:val="885053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6246084" Type="http://schemas.microsoft.com/office/2011/relationships/commentsExtended" Target="commentsExtended.xml"/><Relationship Id="rId4640662beca226ad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