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Xanthomonas arboricola pv. pruni (Xanthomonas campestris pv. pruni) XANTPR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Among cultivated plants, major hosts in which disease severity is commonly high, are: Prunus salicina, P. persica, P. armeniaca, P. dulcis. Minor hosts, in which the disease may be less severe owing to a certain degree of tolerance, are: P. domestica, P. avium, P. cerasus, and P. laurocerasus. Other hosts are Japanese apricot (P. mume), Chinese wild peach (P. davidiana), P. buergeriana, P. crassipes and P. donarium. Rootstocks are, in general, resistant to the disease. P. spinosa (sloethorn or blackthorn), native to Europe and widely present throughout the EU, is not known to be a host or a reservoir plant (EFSA PLH, 2014).</w:t>
      </w:r>
      <w:r>
        <w:rPr>
          <w:color w:val="0200C9"/>
          <w:sz w:val="24"/>
          <w:szCs w:val="24"/>
        </w:rPr>
        <w:br/>
        <w:t xml:space="preserve">For fruit and ornamental use: Experts proposed to continue the evaluation with a listing of the host at the genus level;</w:t>
      </w:r>
      <w:r>
        <w:rPr>
          <w:color w:val="0200C9"/>
          <w:sz w:val="24"/>
          <w:szCs w:val="24"/>
        </w:rPr>
        <w:br/>
        <w:t xml:space="preserve">For forestry use: Prunus avium is the only Prunus species specifically listed in Annex I of EU Directive 1999/105, however evaluation continues taking into consideration other potential Prunus species.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France (2014); Germany (2014); Italy (2014); Italy/Sicilia (1940); Italy/Sardegna (1992); Netherlands (2015); Romania (1992); Slovenia (2014); Spain (2016); Spain/Islas Baleares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6166a32a68cb42b2"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(1PRNG)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Cherry, almond, apricot, peach and plum are already covered by a EPPO PM 4 Standard. These schemes are also suitable for the certification of ornamental Prunus.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 Measures need to take account of the fact that symptoms are easier to see all year round on evergreen species (P. lusitanica and P. laurocerasus) and absence of visual symptoms on the traded material (current general ‘substantially free from’ requirement) could be sufficient for these.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an area known to be free from Xanthomonas arboricola pv. pruni;</w:t>
      </w:r>
      <w:r>
        <w:rPr>
          <w:color w:val="0200C9"/>
          <w:sz w:val="24"/>
          <w:szCs w:val="24"/>
        </w:rPr>
        <w:br/>
        <w:t xml:space="preserve">or</w:t>
      </w:r>
      <w:r>
        <w:rPr>
          <w:color w:val="0200C9"/>
          <w:sz w:val="24"/>
          <w:szCs w:val="24"/>
        </w:rPr>
        <w:br/>
        <w:t xml:space="preserve">(b) Site of production found free from Xanthomonas arboricola pv. pruni over the last complete growing season by visual inspection and any symptomatic plants in the immediate vicinity, and the neighbouring plants, rogued out and destroyed immediately, unless they are tested on the basis of a representative sample of symptomatic plants and it is shown in those tests that the symptoms are not caused by X. arboricola;</w:t>
      </w:r>
      <w:r>
        <w:rPr>
          <w:color w:val="0200C9"/>
          <w:sz w:val="24"/>
          <w:szCs w:val="24"/>
        </w:rPr>
        <w:br/>
        <w:t xml:space="preserve">or</w:t>
      </w:r>
      <w:r>
        <w:rPr>
          <w:color w:val="0200C9"/>
          <w:sz w:val="24"/>
          <w:szCs w:val="24"/>
        </w:rPr>
        <w:br/>
        <w:t xml:space="preserve">(c) No more than 2% of plants in the lot showing symptoms during inspections at appropriate times during the last growing season, and those plants and any symptomatic plants in the site of production and the immediate vicinity, and the neighbouring plants, rogued out and destroyed immediately unless they are tested on the basis of a representative sample of symptomatic plants and it is shown in those tests that the symptoms are not caused by X arboricola;</w:t>
      </w:r>
      <w:r>
        <w:rPr>
          <w:color w:val="0200C9"/>
          <w:sz w:val="24"/>
          <w:szCs w:val="24"/>
        </w:rPr>
        <w:br/>
        <w:t xml:space="preserve">or</w:t>
      </w:r>
      <w:r>
        <w:rPr>
          <w:color w:val="0200C9"/>
          <w:sz w:val="24"/>
          <w:szCs w:val="24"/>
        </w:rPr>
        <w:br/>
        <w:t xml:space="preserve">(d) For evergreen species only, the plants have been inspected before dispatch and found free from symptoms of Xanthomonas arboricola pv. pruni.</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recommended extrapolating the risk management measures from the fruit sector, with an additional option for evergreen species. Its is not possible to visually distinguish between shot hole symptoms caused by Xanthomonas arboricola pruni and common Pseudomonas. Measures also cover any infested Prunus avium produced for the forestry sector within the same site of production.</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pruni (renamed Xanthomonas arboricola pv. pruni);</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pest categorisation of Xanthomonas campestris pv. pruni (Smith) Dye. EFSA Journal 2014; 12(10): 3857, 25 pp. doi:10.2903/j.efsa.2014.3857". </w:t>
      </w:r>
      <w:hyperlink r:id="rId38416a32a68cb4731" w:history="1">
        <w:r>
          <w:rPr>
            <w:color w:val="0200C9"/>
            <w:sz w:val="24"/>
            <w:szCs w:val="24"/>
          </w:rPr>
          <w:t xml:space="preserve">http://www.efsa.europa.eu/en/efsajournal/doc/3857.pdf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262484">
    <w:multiLevelType w:val="hybridMultilevel"/>
    <w:lvl w:ilvl="0" w:tplc="67495123">
      <w:start w:val="1"/>
      <w:numFmt w:val="decimal"/>
      <w:lvlText w:val="%1."/>
      <w:lvlJc w:val="left"/>
      <w:pPr>
        <w:ind w:left="720" w:hanging="360"/>
      </w:pPr>
    </w:lvl>
    <w:lvl w:ilvl="1" w:tplc="67495123" w:tentative="1">
      <w:start w:val="1"/>
      <w:numFmt w:val="lowerLetter"/>
      <w:lvlText w:val="%2."/>
      <w:lvlJc w:val="left"/>
      <w:pPr>
        <w:ind w:left="1440" w:hanging="360"/>
      </w:pPr>
    </w:lvl>
    <w:lvl w:ilvl="2" w:tplc="67495123" w:tentative="1">
      <w:start w:val="1"/>
      <w:numFmt w:val="lowerRoman"/>
      <w:lvlText w:val="%3."/>
      <w:lvlJc w:val="right"/>
      <w:pPr>
        <w:ind w:left="2160" w:hanging="180"/>
      </w:pPr>
    </w:lvl>
    <w:lvl w:ilvl="3" w:tplc="67495123" w:tentative="1">
      <w:start w:val="1"/>
      <w:numFmt w:val="decimal"/>
      <w:lvlText w:val="%4."/>
      <w:lvlJc w:val="left"/>
      <w:pPr>
        <w:ind w:left="2880" w:hanging="360"/>
      </w:pPr>
    </w:lvl>
    <w:lvl w:ilvl="4" w:tplc="67495123" w:tentative="1">
      <w:start w:val="1"/>
      <w:numFmt w:val="lowerLetter"/>
      <w:lvlText w:val="%5."/>
      <w:lvlJc w:val="left"/>
      <w:pPr>
        <w:ind w:left="3600" w:hanging="360"/>
      </w:pPr>
    </w:lvl>
    <w:lvl w:ilvl="5" w:tplc="67495123" w:tentative="1">
      <w:start w:val="1"/>
      <w:numFmt w:val="lowerRoman"/>
      <w:lvlText w:val="%6."/>
      <w:lvlJc w:val="right"/>
      <w:pPr>
        <w:ind w:left="4320" w:hanging="180"/>
      </w:pPr>
    </w:lvl>
    <w:lvl w:ilvl="6" w:tplc="67495123" w:tentative="1">
      <w:start w:val="1"/>
      <w:numFmt w:val="decimal"/>
      <w:lvlText w:val="%7."/>
      <w:lvlJc w:val="left"/>
      <w:pPr>
        <w:ind w:left="5040" w:hanging="360"/>
      </w:pPr>
    </w:lvl>
    <w:lvl w:ilvl="7" w:tplc="67495123" w:tentative="1">
      <w:start w:val="1"/>
      <w:numFmt w:val="lowerLetter"/>
      <w:lvlText w:val="%8."/>
      <w:lvlJc w:val="left"/>
      <w:pPr>
        <w:ind w:left="5760" w:hanging="360"/>
      </w:pPr>
    </w:lvl>
    <w:lvl w:ilvl="8" w:tplc="67495123" w:tentative="1">
      <w:start w:val="1"/>
      <w:numFmt w:val="lowerRoman"/>
      <w:lvlText w:val="%9."/>
      <w:lvlJc w:val="right"/>
      <w:pPr>
        <w:ind w:left="6480" w:hanging="180"/>
      </w:pPr>
    </w:lvl>
  </w:abstractNum>
  <w:abstractNum w:abstractNumId="34262483">
    <w:multiLevelType w:val="hybridMultilevel"/>
    <w:lvl w:ilvl="0" w:tplc="492002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4262483">
    <w:abstractNumId w:val="34262483"/>
  </w:num>
  <w:num w:numId="34262484">
    <w:abstractNumId w:val="3426248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3633975" Type="http://schemas.microsoft.com/office/2011/relationships/commentsExtended" Target="commentsExtended.xml"/><Relationship Id="rId86166a32a68cb42b2" Type="http://schemas.openxmlformats.org/officeDocument/2006/relationships/hyperlink" Target="https://gd.eppo.int/" TargetMode="External"/><Relationship Id="rId38416a32a68cb4731" Type="http://schemas.openxmlformats.org/officeDocument/2006/relationships/hyperlink" Target="http://www.efsa.europa.eu/en/efsajournal/doc/385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