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arboricola pv. pruni (Xanthomonas campestris pv. pruni) (XANTPR)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Among cultivated plants, major hosts in which disease severity is commonly high, are: Prunus salicina, P. persica, P. armeniaca, P. dulcis. Minor hosts, in which the disease may be less severe owing to a certain degree of tolerance, are: P. domestica, P. avium, P. cerasus, and P. laurocerasus. Other hosts are Japanese apricot (P. mume), Chinese wild peach (P. davidiana), P. buergeriana, P. crassipes and P. donarium. Rootstocks are, in general, resistant to the disease. P. spinosa (sloethorn or blackthorn), native to Europe and widely present throughout the EU, is not known to be a host or a reservoir plant (EFSA PLH, 2014).</w:t>
      </w:r>
      <w:r>
        <w:rPr>
          <w:color w:val="0200C9"/>
          <w:sz w:val="24"/>
          <w:szCs w:val="24"/>
        </w:rPr>
        <w:br/>
        <w:t xml:space="preserve">For fruit and ornamental use: Experts proposed to continue the evaluation with a listing of the host at the genus level;</w:t>
      </w:r>
      <w:r>
        <w:rPr>
          <w:color w:val="0200C9"/>
          <w:sz w:val="24"/>
          <w:szCs w:val="24"/>
        </w:rPr>
        <w:br/>
        <w:t xml:space="preserve">For forestry use: Prunus avium is the only Prunus species specifically listed in Annex I of EU Directive 1999/105, however evaluation continues taking into consideration other potential Prunus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France (2014); Germany (2014); Italy (2014); Italy/Sicilia (1940); Italy/Sardegna (1992); Netherlands (2015); Romania (1992); Slovenia (2014); Spain (2016); Spain/Islas Baleares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87969b016ab1f77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(1PRNG)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grafted trees, vegetatively propagated rootstocks and seedling rootstocks of cherry, almond, apricot, peach and plum are already covered by these EPPO PM 4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Xanthomonas arboricola pv. pruni.</w:t>
      </w:r>
      <w:r>
        <w:rPr>
          <w:color w:val="0200C9"/>
          <w:sz w:val="24"/>
          <w:szCs w:val="24"/>
        </w:rPr>
        <w:br/>
        <w:t xml:space="preserve">AND</w:t>
      </w:r>
      <w:r>
        <w:rPr>
          <w:color w:val="0200C9"/>
          <w:sz w:val="24"/>
          <w:szCs w:val="24"/>
        </w:rPr>
        <w:br/>
        <w:t xml:space="preserve">(B) (a) Plants produced in areas known to be free from Xanthomonas arboricola pv. pruni;</w:t>
      </w:r>
      <w:r>
        <w:rPr>
          <w:color w:val="0200C9"/>
          <w:sz w:val="24"/>
          <w:szCs w:val="24"/>
        </w:rPr>
        <w:br/>
        <w:t xml:space="preserve">or</w:t>
      </w:r>
      <w:r>
        <w:rPr>
          <w:color w:val="0200C9"/>
          <w:sz w:val="24"/>
          <w:szCs w:val="24"/>
        </w:rPr>
        <w:br/>
        <w:t xml:space="preserve">(b) Site of production found free from Xanthomonas arboricola pv. pruni over the last complete growing season by visual inspection and any symptomatic plants in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site of production and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br/>
        <w:t xml:space="preserve">Pre-basic, Basic and Certified: no additional measures to be considered.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Its is not possible to visually distinguish between shot hole symptoms caused by Xanthomonas arboricola pruni and common Pseudomonas. Measures also cover any infested Prunus avium produced for the forestry sector within the same site of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Xanthomonas campestris pv. pruni (Smith) Dye. EFSA Journal 2014; 12(10): 3857, 25 pp. doi:10.2903/j.efsa.2014.3857". </w:t>
      </w:r>
      <w:hyperlink r:id="rId455869b016ab1f9cf" w:history="1">
        <w:r>
          <w:rPr>
            <w:color w:val="0200C9"/>
            <w:sz w:val="24"/>
            <w:szCs w:val="24"/>
          </w:rPr>
          <w:t xml:space="preserve">http://www.efsa.europa.eu/en/efsajournal/doc/3857.pdf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pruni (renamed Xanthomonas arboricola pv. pruni);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389970">
    <w:multiLevelType w:val="hybridMultilevel"/>
    <w:lvl w:ilvl="0" w:tplc="90286721">
      <w:start w:val="1"/>
      <w:numFmt w:val="decimal"/>
      <w:lvlText w:val="%1."/>
      <w:lvlJc w:val="left"/>
      <w:pPr>
        <w:ind w:left="720" w:hanging="360"/>
      </w:pPr>
    </w:lvl>
    <w:lvl w:ilvl="1" w:tplc="90286721" w:tentative="1">
      <w:start w:val="1"/>
      <w:numFmt w:val="lowerLetter"/>
      <w:lvlText w:val="%2."/>
      <w:lvlJc w:val="left"/>
      <w:pPr>
        <w:ind w:left="1440" w:hanging="360"/>
      </w:pPr>
    </w:lvl>
    <w:lvl w:ilvl="2" w:tplc="90286721" w:tentative="1">
      <w:start w:val="1"/>
      <w:numFmt w:val="lowerRoman"/>
      <w:lvlText w:val="%3."/>
      <w:lvlJc w:val="right"/>
      <w:pPr>
        <w:ind w:left="2160" w:hanging="180"/>
      </w:pPr>
    </w:lvl>
    <w:lvl w:ilvl="3" w:tplc="90286721" w:tentative="1">
      <w:start w:val="1"/>
      <w:numFmt w:val="decimal"/>
      <w:lvlText w:val="%4."/>
      <w:lvlJc w:val="left"/>
      <w:pPr>
        <w:ind w:left="2880" w:hanging="360"/>
      </w:pPr>
    </w:lvl>
    <w:lvl w:ilvl="4" w:tplc="90286721" w:tentative="1">
      <w:start w:val="1"/>
      <w:numFmt w:val="lowerLetter"/>
      <w:lvlText w:val="%5."/>
      <w:lvlJc w:val="left"/>
      <w:pPr>
        <w:ind w:left="3600" w:hanging="360"/>
      </w:pPr>
    </w:lvl>
    <w:lvl w:ilvl="5" w:tplc="90286721" w:tentative="1">
      <w:start w:val="1"/>
      <w:numFmt w:val="lowerRoman"/>
      <w:lvlText w:val="%6."/>
      <w:lvlJc w:val="right"/>
      <w:pPr>
        <w:ind w:left="4320" w:hanging="180"/>
      </w:pPr>
    </w:lvl>
    <w:lvl w:ilvl="6" w:tplc="90286721" w:tentative="1">
      <w:start w:val="1"/>
      <w:numFmt w:val="decimal"/>
      <w:lvlText w:val="%7."/>
      <w:lvlJc w:val="left"/>
      <w:pPr>
        <w:ind w:left="5040" w:hanging="360"/>
      </w:pPr>
    </w:lvl>
    <w:lvl w:ilvl="7" w:tplc="90286721" w:tentative="1">
      <w:start w:val="1"/>
      <w:numFmt w:val="lowerLetter"/>
      <w:lvlText w:val="%8."/>
      <w:lvlJc w:val="left"/>
      <w:pPr>
        <w:ind w:left="5760" w:hanging="360"/>
      </w:pPr>
    </w:lvl>
    <w:lvl w:ilvl="8" w:tplc="90286721" w:tentative="1">
      <w:start w:val="1"/>
      <w:numFmt w:val="lowerRoman"/>
      <w:lvlText w:val="%9."/>
      <w:lvlJc w:val="right"/>
      <w:pPr>
        <w:ind w:left="6480" w:hanging="180"/>
      </w:pPr>
    </w:lvl>
  </w:abstractNum>
  <w:abstractNum w:abstractNumId="38389969">
    <w:multiLevelType w:val="hybridMultilevel"/>
    <w:lvl w:ilvl="0" w:tplc="403881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389969">
    <w:abstractNumId w:val="38389969"/>
  </w:num>
  <w:num w:numId="38389970">
    <w:abstractNumId w:val="383899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5630408" Type="http://schemas.microsoft.com/office/2011/relationships/commentsExtended" Target="commentsExtended.xml"/><Relationship Id="rId387969b016ab1f779" Type="http://schemas.openxmlformats.org/officeDocument/2006/relationships/hyperlink" Target="https://gd.eppo.int/" TargetMode="External"/><Relationship Id="rId455869b016ab1f9cf" Type="http://schemas.openxmlformats.org/officeDocument/2006/relationships/hyperlink" Target="http://www.efsa.europa.eu/en/efsajournal/doc/385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