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Clavibacter michiganensis subsp. michiganensis (CORBMI)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C. michiganensis is subdivided into height subspecies.</w:t>
      </w:r>
      <w:r>
        <w:rPr>
          <w:color w:val="0200C9"/>
          <w:sz w:val="24"/>
          <w:szCs w:val="24"/>
        </w:rPr>
        <w:br/>
        <w:t xml:space="preserve">All strains of C. michiganensis pathogenic in natural conditions on tomatoes are grouped in the subspecies michiganensis. This pest is a clear, distinguished taxonomic entity. It is the causal agent of bacterial wilt and canker of tomato (EFSA-PLH, 2014). As a consequence, a listing of this pest below the species level is justified. Remark: in inoculation tests many members of the Solanaceae, including tomato and aubergines, were found to be susceptible to C. michiganensis subsp. sepedonicus (Crop Protection Compendium).</w:t>
      </w:r>
      <w:r>
        <w:rPr>
          <w:color w:val="0200C9"/>
          <w:sz w:val="24"/>
          <w:szCs w:val="24"/>
        </w:rPr>
        <w:br/>
        <w:t xml:space="preserve">Concerning the Capsicum spp. host, natural infections have only been found on Capsicum annuum and Capsicum frutescens. The listing of the entire Capsicum genus is not justified for the vegetable sector. It should be noted that bacterial strains showing very similar canker disease symptoms to those of a strain originally classified as C. michiganensis subsp. michiganensis have been isolated from pepper. The strains isolated from pepper were grouped in a separate clade from other subspecies of C. michiganensis: A new subspecies is proposed (C. michiganensis subsp. capsici) (Oh et al., 2016).</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Bulgaria (1993); Cyprus (2005); Czech Republic (1994); France (2011); Germany (1998); Greece (2001); Greece/Kriti (1996); Hungary (2001); Italy (2013); Italy/Sicilia (1994); Italy/Sardegna (1994); Latvia (2013); Poland (2011); Romania (2011); Slovenia (1995); Spain (2016)</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9949662a0f9c9507c"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Solanum lycopersicum (LYPES)</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The pathogen is seed borne and seed is considered to be the major means of long-distance dispersal. The pathogen can survive for years on seed, and a low inoculum dose of a few cells can result in transmission from seed to seedling. A few infection loci can lead to outbreaks. Transplants can also be a primary infection source and can serve as a means of long-distance dispersal. Seedlings grown from contaminated seeds can release high densities of bacteria. At production sites, pepper and tomato volunteer plants and infected soil and crop debris, in which Cmm can survive, are recognised as a source of inoculum and so most producers have through clean-up at the end of each season. Cultivation practices including clipping and pruning contribute considerably to the rapid spread of the pathogen in a crop (EFSA-PLH, 2014).</w:t>
      </w:r>
      <w:r>
        <w:rPr>
          <w:color w:val="0200C9"/>
          <w:sz w:val="24"/>
          <w:szCs w:val="24"/>
        </w:rPr>
        <w:br/>
        <w:t xml:space="preserve">Plants for planting (including seeds) is the most important pathway of Cmm for a clean and pathogen free place of production, especially for indoor cultivation, even if the pest is present in the area.</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The pathogen is considered to be one of the most important bacterial pathogens of tomato and can be very destructive. Infections often result in high yield losses; in several cases losses of between 50 % and 100 % have been reported. However, growers and the seed industry are putting considerable efforts into preventing the introduction and dissemination of Cmm. Production systems involving integral testing tomato seed and transplants using validated protocols are used by the tomato seed companies and nurseries. These largely exclude the introduction and spread of Cmm by propagation material. This has resulted in a considerable reduction in crop damage and may be considered an effective way of controlling the disease (EFSA PLH, 2014).</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 pathogen is considered to be one of the most important bacterial pathogens of tomato (EFSA PLH, 2014).</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Control is mainly based on seed treatments and on hygiene and cultivation measures reducing the risk of introductions and disseminations. An effective control of the disease during production of plants for planting requires management of the entire production chain (EFSA, 2014)</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 or testing</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threshold for a disease outbreak is low, as one infected seed in 10 000 is capable of initiating an epidemic (EFSA PLH, 2014).</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The seeds have been obtained by means of an appropriate acid extraction method or an equivalent method;</w:t>
      </w:r>
      <w:r>
        <w:rPr>
          <w:color w:val="0200C9"/>
          <w:sz w:val="24"/>
          <w:szCs w:val="24"/>
        </w:rPr>
        <w:br/>
        <w:t xml:space="preserve">AND</w:t>
      </w:r>
      <w:r>
        <w:rPr>
          <w:color w:val="0200C9"/>
          <w:sz w:val="24"/>
          <w:szCs w:val="24"/>
        </w:rPr>
        <w:br/>
        <w:t xml:space="preserve">(B) (a) The seeds originate in areas known to be free from Clavibacter michiganensis ssp. michiganensis;</w:t>
      </w:r>
      <w:r>
        <w:rPr>
          <w:color w:val="0200C9"/>
          <w:sz w:val="24"/>
          <w:szCs w:val="24"/>
        </w:rPr>
        <w:br/>
        <w:t xml:space="preserve">or</w:t>
      </w:r>
      <w:r>
        <w:rPr>
          <w:color w:val="0200C9"/>
          <w:sz w:val="24"/>
          <w:szCs w:val="24"/>
        </w:rPr>
        <w:br/>
        <w:t xml:space="preserve">(b) No symptoms of disease caused by Clavibacter michiganensis ssp. michiganensis have been observed in inspections at appropriate times during their complete cycle of vegetation of the plants at the site of production;</w:t>
      </w:r>
      <w:r>
        <w:rPr>
          <w:color w:val="0200C9"/>
          <w:sz w:val="24"/>
          <w:szCs w:val="24"/>
        </w:rPr>
        <w:br/>
        <w:t xml:space="preserve">or</w:t>
      </w:r>
      <w:r>
        <w:rPr>
          <w:color w:val="0200C9"/>
          <w:sz w:val="24"/>
          <w:szCs w:val="24"/>
        </w:rPr>
        <w:br/>
        <w:t xml:space="preserve">(c) The seeds have been subjected to official testing for Clavibacter michiganensis ssp. michiganensis on a representative sample and using appropriate methods, and have been found, in these tests, to be free from the pest.</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Acid extraction is not available for organic production.</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Clavibacter michiganensis subsp. Michiganensis;</w:t>
      </w:r>
    </w:p>
    <w:p>
      <w:pPr>
        <w:numPr>
          <w:ilvl w:val="0"/>
          <w:numId w:val="1"/>
        </w:numPr>
        <w:spacing w:before="0" w:after="0" w:line="240" w:lineRule="auto"/>
        <w:jc w:val="left"/>
        <w:rPr>
          <w:color w:val="0200C9"/>
          <w:sz w:val="24"/>
          <w:szCs w:val="24"/>
        </w:rPr>
      </w:pPr>
      <w:r>
        <w:rPr>
          <w:color w:val="0200C9"/>
          <w:sz w:val="24"/>
          <w:szCs w:val="24"/>
        </w:rPr>
        <w:t xml:space="preserve">EFSA PLH Panel (EFSA Panel on Plant Health) (2014) Scientific Opinion on the pest categorisation of Clavibacter michiganensis subsp. michiganensis (Smith) Davis et al. EFSA Journal 2014;12(6):3721, 29 pp. doi:10.2903/j.efsa.2014.3721". </w:t>
      </w:r>
      <w:hyperlink r:id="rId1256662a0f9c955fe" w:history="1">
        <w:r>
          <w:rPr>
            <w:color w:val="0200C9"/>
            <w:sz w:val="24"/>
            <w:szCs w:val="24"/>
          </w:rPr>
          <w:t xml:space="preserve">http://www.efsa.europa.eu/en/efsajournal/doc/3721.pdf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Oh E-J, Bae C, Lee H-B, Hwang I S, Lee H-I, Yea M C, Yim K-O, Heu S, Cha J-S &amp; Oh C-S (2016) Clavibacter michiganensis subsp. capsici subsp. nov., causing bacterial canker disease in pepper. International Journal of Systematic and Evolutionary Microbiology 66, 4065-4070;</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5970796">
    <w:multiLevelType w:val="hybridMultilevel"/>
    <w:lvl w:ilvl="0" w:tplc="63495577">
      <w:start w:val="1"/>
      <w:numFmt w:val="decimal"/>
      <w:lvlText w:val="%1."/>
      <w:lvlJc w:val="left"/>
      <w:pPr>
        <w:ind w:left="720" w:hanging="360"/>
      </w:pPr>
    </w:lvl>
    <w:lvl w:ilvl="1" w:tplc="63495577" w:tentative="1">
      <w:start w:val="1"/>
      <w:numFmt w:val="lowerLetter"/>
      <w:lvlText w:val="%2."/>
      <w:lvlJc w:val="left"/>
      <w:pPr>
        <w:ind w:left="1440" w:hanging="360"/>
      </w:pPr>
    </w:lvl>
    <w:lvl w:ilvl="2" w:tplc="63495577" w:tentative="1">
      <w:start w:val="1"/>
      <w:numFmt w:val="lowerRoman"/>
      <w:lvlText w:val="%3."/>
      <w:lvlJc w:val="right"/>
      <w:pPr>
        <w:ind w:left="2160" w:hanging="180"/>
      </w:pPr>
    </w:lvl>
    <w:lvl w:ilvl="3" w:tplc="63495577" w:tentative="1">
      <w:start w:val="1"/>
      <w:numFmt w:val="decimal"/>
      <w:lvlText w:val="%4."/>
      <w:lvlJc w:val="left"/>
      <w:pPr>
        <w:ind w:left="2880" w:hanging="360"/>
      </w:pPr>
    </w:lvl>
    <w:lvl w:ilvl="4" w:tplc="63495577" w:tentative="1">
      <w:start w:val="1"/>
      <w:numFmt w:val="lowerLetter"/>
      <w:lvlText w:val="%5."/>
      <w:lvlJc w:val="left"/>
      <w:pPr>
        <w:ind w:left="3600" w:hanging="360"/>
      </w:pPr>
    </w:lvl>
    <w:lvl w:ilvl="5" w:tplc="63495577" w:tentative="1">
      <w:start w:val="1"/>
      <w:numFmt w:val="lowerRoman"/>
      <w:lvlText w:val="%6."/>
      <w:lvlJc w:val="right"/>
      <w:pPr>
        <w:ind w:left="4320" w:hanging="180"/>
      </w:pPr>
    </w:lvl>
    <w:lvl w:ilvl="6" w:tplc="63495577" w:tentative="1">
      <w:start w:val="1"/>
      <w:numFmt w:val="decimal"/>
      <w:lvlText w:val="%7."/>
      <w:lvlJc w:val="left"/>
      <w:pPr>
        <w:ind w:left="5040" w:hanging="360"/>
      </w:pPr>
    </w:lvl>
    <w:lvl w:ilvl="7" w:tplc="63495577" w:tentative="1">
      <w:start w:val="1"/>
      <w:numFmt w:val="lowerLetter"/>
      <w:lvlText w:val="%8."/>
      <w:lvlJc w:val="left"/>
      <w:pPr>
        <w:ind w:left="5760" w:hanging="360"/>
      </w:pPr>
    </w:lvl>
    <w:lvl w:ilvl="8" w:tplc="63495577" w:tentative="1">
      <w:start w:val="1"/>
      <w:numFmt w:val="lowerRoman"/>
      <w:lvlText w:val="%9."/>
      <w:lvlJc w:val="right"/>
      <w:pPr>
        <w:ind w:left="6480" w:hanging="180"/>
      </w:pPr>
    </w:lvl>
  </w:abstractNum>
  <w:abstractNum w:abstractNumId="95970795">
    <w:multiLevelType w:val="hybridMultilevel"/>
    <w:lvl w:ilvl="0" w:tplc="444167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5970795">
    <w:abstractNumId w:val="95970795"/>
  </w:num>
  <w:num w:numId="95970796">
    <w:abstractNumId w:val="9597079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42339189" Type="http://schemas.microsoft.com/office/2011/relationships/commentsExtended" Target="commentsExtended.xml"/><Relationship Id="rId9949662a0f9c9507c" Type="http://schemas.openxmlformats.org/officeDocument/2006/relationships/hyperlink" Target="https://gd.eppo.int/" TargetMode="External"/><Relationship Id="rId1256662a0f9c955fe" Type="http://schemas.openxmlformats.org/officeDocument/2006/relationships/hyperlink" Target="http://www.efsa.europa.eu/en/efsajournal/doc/3721.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