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Xanthomonas perforans (Xanthomonas campestris pv. vesicatoria) (XANTPF)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Xanthomonas campestris pv. vesicatoria</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Xanthomonas campestris pv. vesicatoria is not a single taxonomic entity, and strains causing bacterial spot of tomato and pepper known with that name nowadays fall into four separate species: X. vesicatoria, X. euvesicatoria, X. perforans and X. gardneri.</w:t>
      </w:r>
      <w:r>
        <w:rPr>
          <w:color w:val="0200C9"/>
          <w:sz w:val="24"/>
          <w:szCs w:val="24"/>
        </w:rPr>
        <w:br/>
        <w:t xml:space="preserve">Sweet pepper (Capsicum annuum) and tomato (Solanum lycopersicum) are the main host plants of strains belonging to the former X. campestris pv. vesicatoria.</w:t>
      </w:r>
      <w:r>
        <w:rPr>
          <w:color w:val="0200C9"/>
          <w:sz w:val="24"/>
          <w:szCs w:val="24"/>
        </w:rPr>
        <w:br/>
        <w:t xml:space="preserve">Remark on Capsicum: Capsicum anomalum, C. baccatum, C. chacoense, C. chinensis, C. frutescens, C. galapagoense and one accession out of two of C. pubescens were found to be susceptible to X. campestris pv. vesicatoria race P6 after artificial inoculation (EFSA, 2014). As a consequence, listing of Capsicum at the genus level is justified.</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Italy (2013); Italy/Sicilia (2013)</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a candidate for the RNQP status according to the IIA2AWG. Data of the presence of this pest on the EU territory are available in EPPO Global Database (</w:t>
      </w:r>
      <w:hyperlink r:id="rId3795662b5abd20650" w:history="1">
        <w:r>
          <w:rPr>
            <w:color w:val="0200C9"/>
            <w:sz w:val="24"/>
            <w:szCs w:val="24"/>
          </w:rPr>
          <w:t xml:space="preserve">https://gd.eppo.int/</w:t>
        </w:r>
      </w:hyperlink>
      <w:r>
        <w:rPr>
          <w:color w:val="0200C9"/>
          <w:sz w:val="24"/>
          <w:szCs w:val="24"/>
        </w:rPr>
        <w:t xml:space="preserve">). The pest identity according to the new classification is, in most cases, ―not stated/updated, since most of the reports date from before the new classification (EFSA, 2014).</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lycopersicum (LYPES)</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is a significant pathway: Long-distance spread of tomato and pepper Xanthomonas spp. is commonly related to the trade of infected seeds and transplants. Short-distance dispersal is ensured by splashing water (irrigation and rain) or contaminated tools: Splashing water is particularly threatening during transplant production, when several thousands of transplants are growing crowded together, and in the field, in the case of sprinkler irrigation (EFSA,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Because of the recent reclassification of the pest, economic impact evaluation is proposed for the 4 listed species. The organism is considered an important bacterial pathogen of tomato and pepper. No recent data are available as regards crop losses. However, losses of up to 30% have been reported (EU COM, 2014). In addition, the pathogen can negatively affect fruit quality.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Note: genetic resistance against the four Xanthomonas species has been described in both pepper and tomato.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PFA, Pest free production place/site; testing and seed treatment</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Seeds:</w:t>
      </w:r>
      <w:r>
        <w:rPr>
          <w:color w:val="0200C9"/>
          <w:sz w:val="24"/>
          <w:szCs w:val="24"/>
        </w:rPr>
        <w:br/>
        <w:t xml:space="preserve">(A) The seeds have been obtained by means of an appropriate acid extraction method or an equivalent method;</w:t>
      </w:r>
      <w:r>
        <w:rPr>
          <w:color w:val="0200C9"/>
          <w:sz w:val="24"/>
          <w:szCs w:val="24"/>
        </w:rPr>
        <w:br/>
        <w:t xml:space="preserve">AND</w:t>
      </w:r>
      <w:r>
        <w:rPr>
          <w:color w:val="0200C9"/>
          <w:sz w:val="24"/>
          <w:szCs w:val="24"/>
        </w:rPr>
        <w:br/>
        <w:t xml:space="preserve">(B) (a) The seeds originate in areas known to be free from Xanthomonas perforans;</w:t>
      </w:r>
      <w:r>
        <w:rPr>
          <w:color w:val="0200C9"/>
          <w:sz w:val="24"/>
          <w:szCs w:val="24"/>
        </w:rPr>
        <w:br/>
        <w:t xml:space="preserve">or</w:t>
      </w:r>
      <w:r>
        <w:rPr>
          <w:color w:val="0200C9"/>
          <w:sz w:val="24"/>
          <w:szCs w:val="24"/>
        </w:rPr>
        <w:br/>
        <w:t xml:space="preserve">(b) No symptoms of disease caused by Xanthomonas perforans have been observed in inspections at appropriate times during the complete cycle of vegetation of the plants at the site of production;</w:t>
      </w:r>
      <w:r>
        <w:rPr>
          <w:color w:val="0200C9"/>
          <w:sz w:val="24"/>
          <w:szCs w:val="24"/>
        </w:rPr>
        <w:br/>
        <w:t xml:space="preserve">or</w:t>
      </w:r>
      <w:r>
        <w:rPr>
          <w:color w:val="0200C9"/>
          <w:sz w:val="24"/>
          <w:szCs w:val="24"/>
        </w:rPr>
        <w:br/>
        <w:t xml:space="preserve">(c) The seeds have been subjected to official testing for Xanthomonas perforans on a representative sample and using appropriate methods (whether or not following an appropriate treatment), and have been found, in these tests, free from Xanthomonas perforans.</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indicated when the option of testing is applied to fulfil the requirements at import; the performed test should be an official test.</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Xanthomonas campestris pv. vesicatoria (Doidge) Dye, EFSA Journal 2014; 12(6): 3720;</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Xanthomonas campestris pv. vesicatoria;</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028984">
    <w:multiLevelType w:val="hybridMultilevel"/>
    <w:lvl w:ilvl="0" w:tplc="10431978">
      <w:start w:val="1"/>
      <w:numFmt w:val="decimal"/>
      <w:lvlText w:val="%1."/>
      <w:lvlJc w:val="left"/>
      <w:pPr>
        <w:ind w:left="720" w:hanging="360"/>
      </w:pPr>
    </w:lvl>
    <w:lvl w:ilvl="1" w:tplc="10431978" w:tentative="1">
      <w:start w:val="1"/>
      <w:numFmt w:val="lowerLetter"/>
      <w:lvlText w:val="%2."/>
      <w:lvlJc w:val="left"/>
      <w:pPr>
        <w:ind w:left="1440" w:hanging="360"/>
      </w:pPr>
    </w:lvl>
    <w:lvl w:ilvl="2" w:tplc="10431978" w:tentative="1">
      <w:start w:val="1"/>
      <w:numFmt w:val="lowerRoman"/>
      <w:lvlText w:val="%3."/>
      <w:lvlJc w:val="right"/>
      <w:pPr>
        <w:ind w:left="2160" w:hanging="180"/>
      </w:pPr>
    </w:lvl>
    <w:lvl w:ilvl="3" w:tplc="10431978" w:tentative="1">
      <w:start w:val="1"/>
      <w:numFmt w:val="decimal"/>
      <w:lvlText w:val="%4."/>
      <w:lvlJc w:val="left"/>
      <w:pPr>
        <w:ind w:left="2880" w:hanging="360"/>
      </w:pPr>
    </w:lvl>
    <w:lvl w:ilvl="4" w:tplc="10431978" w:tentative="1">
      <w:start w:val="1"/>
      <w:numFmt w:val="lowerLetter"/>
      <w:lvlText w:val="%5."/>
      <w:lvlJc w:val="left"/>
      <w:pPr>
        <w:ind w:left="3600" w:hanging="360"/>
      </w:pPr>
    </w:lvl>
    <w:lvl w:ilvl="5" w:tplc="10431978" w:tentative="1">
      <w:start w:val="1"/>
      <w:numFmt w:val="lowerRoman"/>
      <w:lvlText w:val="%6."/>
      <w:lvlJc w:val="right"/>
      <w:pPr>
        <w:ind w:left="4320" w:hanging="180"/>
      </w:pPr>
    </w:lvl>
    <w:lvl w:ilvl="6" w:tplc="10431978" w:tentative="1">
      <w:start w:val="1"/>
      <w:numFmt w:val="decimal"/>
      <w:lvlText w:val="%7."/>
      <w:lvlJc w:val="left"/>
      <w:pPr>
        <w:ind w:left="5040" w:hanging="360"/>
      </w:pPr>
    </w:lvl>
    <w:lvl w:ilvl="7" w:tplc="10431978" w:tentative="1">
      <w:start w:val="1"/>
      <w:numFmt w:val="lowerLetter"/>
      <w:lvlText w:val="%8."/>
      <w:lvlJc w:val="left"/>
      <w:pPr>
        <w:ind w:left="5760" w:hanging="360"/>
      </w:pPr>
    </w:lvl>
    <w:lvl w:ilvl="8" w:tplc="10431978" w:tentative="1">
      <w:start w:val="1"/>
      <w:numFmt w:val="lowerRoman"/>
      <w:lvlText w:val="%9."/>
      <w:lvlJc w:val="right"/>
      <w:pPr>
        <w:ind w:left="6480" w:hanging="180"/>
      </w:pPr>
    </w:lvl>
  </w:abstractNum>
  <w:abstractNum w:abstractNumId="68028983">
    <w:multiLevelType w:val="hybridMultilevel"/>
    <w:lvl w:ilvl="0" w:tplc="795387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028983">
    <w:abstractNumId w:val="68028983"/>
  </w:num>
  <w:num w:numId="68028984">
    <w:abstractNumId w:val="6802898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79653292" Type="http://schemas.microsoft.com/office/2011/relationships/commentsExtended" Target="commentsExtended.xml"/><Relationship Id="rId3795662b5abd20650"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