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Xanthomonas euvesicatoria (Xanthomonas campestris pv. vesicatoria) (XANTEU)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Xanthomonas campestris pv. vesicatoria</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Xanthomonas campestris pv. vesicatoria is not a single taxonomic entity, and strains causing bacterial spot of tomato and pepper known with that name nowadays fall into four separate species: X. vesicatoria, X. euvesicatoria, X. perforans and X. gardneri.</w:t>
      </w:r>
      <w:r>
        <w:rPr>
          <w:color w:val="0200C9"/>
          <w:sz w:val="24"/>
          <w:szCs w:val="24"/>
        </w:rPr>
        <w:br/>
        <w:t xml:space="preserve">Sweet pepper (Capsicum annuum) and tomato (Solanum lycopersicum) are the main host plants of strains belonging to the former X. campestris pv. vesicatoria.</w:t>
      </w:r>
      <w:r>
        <w:rPr>
          <w:color w:val="0200C9"/>
          <w:sz w:val="24"/>
          <w:szCs w:val="24"/>
        </w:rPr>
        <w:br/>
        <w:t xml:space="preserve">Remark on Capsicum: Capsicum anomalum, C. baccatum, C. chacoense, C. chinensis, C. frutescens, C. galapagoense and one accession out of two of C. pubescens were found to be susceptible to X. campestris pv. vesicatoria race P6 after artificial inoculation (EFSA, 2014). As a consequence, listing of Capsicum at the genus level is justified.</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Bulgaria (2013); Czech Republic (2015)</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This pest is a candidate for the RNQP status according to the IIA2AWG. Data of the presence of this pest on the EU territory are available in EPPO Global Database (</w:t>
      </w:r>
      <w:hyperlink r:id="rId56356629bb7d06542" w:history="1">
        <w:r>
          <w:rPr>
            <w:color w:val="0200C9"/>
            <w:sz w:val="24"/>
            <w:szCs w:val="24"/>
          </w:rPr>
          <w:t xml:space="preserve">https://gd.eppo.int/</w:t>
        </w:r>
      </w:hyperlink>
      <w:r>
        <w:rPr>
          <w:color w:val="0200C9"/>
          <w:sz w:val="24"/>
          <w:szCs w:val="24"/>
        </w:rPr>
        <w:t xml:space="preserve">). The pest identity according to the new classification is, in most cases, ―not stated/updated, since most of the reports date from before the new classification (EFSA, 2014).</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Capsicum (1CPSG)</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is a significant pathway: Long-distance spread of tomato and pepper Xanthomonas spp. is commonly related to the trade of infected seeds and transplants. Short-distance dispersal is ensured by splashing water (irrigation and rain) or contaminated tools: Splashing water is particularly threatening during transplant production, when several thousands of transplants are growing crowded together, and in the field, in the case of sprinkler irrigation (EFSA, 2014).</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Because of the recent reclassification of the pest, economic impact evaluation is proposed for the 4 listed species. The organism is considered an important bacterial pathogen of tomato and pepper. No recent data are available as regards crop losses. However, losses of up to 30% have been reported (EU COM, 2014). In addition, the pathogen can negatively affect fruit quality.</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Note: genetic resistance against the four Xanthomonas species has been described in both pepper and tomato.</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PFA, Pest free production place/site; testing and seed treatment</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the following risk management measures.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Plants:</w:t>
      </w:r>
      <w:r>
        <w:rPr>
          <w:color w:val="0200C9"/>
          <w:sz w:val="24"/>
          <w:szCs w:val="24"/>
        </w:rPr>
        <w:br/>
        <w:t xml:space="preserve">(a) Seedlings have been grown from seeds that meet the requirements laid down (pest free area, field inspection, testing);</w:t>
      </w:r>
      <w:r>
        <w:rPr>
          <w:color w:val="0200C9"/>
          <w:sz w:val="24"/>
          <w:szCs w:val="24"/>
        </w:rPr>
        <w:br/>
        <w:t xml:space="preserve">and</w:t>
      </w:r>
      <w:r>
        <w:rPr>
          <w:color w:val="0200C9"/>
          <w:sz w:val="24"/>
          <w:szCs w:val="24"/>
        </w:rPr>
        <w:br/>
        <w:t xml:space="preserve">(b) Young plants have been maintained in appropriate hygiene conditions to prevent infection.</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Xanthomonas campestris pv. vesicatoria (Doidge) Dye, EFSA Journal 2014; 12(6): 3720;</w:t>
      </w:r>
    </w:p>
    <w:p>
      <w:pPr>
        <w:numPr>
          <w:ilvl w:val="0"/>
          <w:numId w:val="1"/>
        </w:numPr>
        <w:spacing w:before="0" w:after="0" w:line="240" w:lineRule="auto"/>
        <w:jc w:val="left"/>
        <w:rPr>
          <w:color w:val="0200C9"/>
          <w:sz w:val="24"/>
          <w:szCs w:val="24"/>
        </w:rPr>
      </w:pPr>
      <w:r>
        <w:rPr>
          <w:color w:val="0200C9"/>
          <w:sz w:val="24"/>
          <w:szCs w:val="24"/>
        </w:rPr>
        <w:t xml:space="preserve">EU COM (2014) Recommendation of the Working Group on the Annexes of the Council Directive 2000/29/EC – Section II – Listing of Harmful Organisms as regards the future listing of Xanthomonas campestris pv. vesicatoria;</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0162915">
    <w:multiLevelType w:val="hybridMultilevel"/>
    <w:lvl w:ilvl="0" w:tplc="24793034">
      <w:start w:val="1"/>
      <w:numFmt w:val="decimal"/>
      <w:lvlText w:val="%1."/>
      <w:lvlJc w:val="left"/>
      <w:pPr>
        <w:ind w:left="720" w:hanging="360"/>
      </w:pPr>
    </w:lvl>
    <w:lvl w:ilvl="1" w:tplc="24793034" w:tentative="1">
      <w:start w:val="1"/>
      <w:numFmt w:val="lowerLetter"/>
      <w:lvlText w:val="%2."/>
      <w:lvlJc w:val="left"/>
      <w:pPr>
        <w:ind w:left="1440" w:hanging="360"/>
      </w:pPr>
    </w:lvl>
    <w:lvl w:ilvl="2" w:tplc="24793034" w:tentative="1">
      <w:start w:val="1"/>
      <w:numFmt w:val="lowerRoman"/>
      <w:lvlText w:val="%3."/>
      <w:lvlJc w:val="right"/>
      <w:pPr>
        <w:ind w:left="2160" w:hanging="180"/>
      </w:pPr>
    </w:lvl>
    <w:lvl w:ilvl="3" w:tplc="24793034" w:tentative="1">
      <w:start w:val="1"/>
      <w:numFmt w:val="decimal"/>
      <w:lvlText w:val="%4."/>
      <w:lvlJc w:val="left"/>
      <w:pPr>
        <w:ind w:left="2880" w:hanging="360"/>
      </w:pPr>
    </w:lvl>
    <w:lvl w:ilvl="4" w:tplc="24793034" w:tentative="1">
      <w:start w:val="1"/>
      <w:numFmt w:val="lowerLetter"/>
      <w:lvlText w:val="%5."/>
      <w:lvlJc w:val="left"/>
      <w:pPr>
        <w:ind w:left="3600" w:hanging="360"/>
      </w:pPr>
    </w:lvl>
    <w:lvl w:ilvl="5" w:tplc="24793034" w:tentative="1">
      <w:start w:val="1"/>
      <w:numFmt w:val="lowerRoman"/>
      <w:lvlText w:val="%6."/>
      <w:lvlJc w:val="right"/>
      <w:pPr>
        <w:ind w:left="4320" w:hanging="180"/>
      </w:pPr>
    </w:lvl>
    <w:lvl w:ilvl="6" w:tplc="24793034" w:tentative="1">
      <w:start w:val="1"/>
      <w:numFmt w:val="decimal"/>
      <w:lvlText w:val="%7."/>
      <w:lvlJc w:val="left"/>
      <w:pPr>
        <w:ind w:left="5040" w:hanging="360"/>
      </w:pPr>
    </w:lvl>
    <w:lvl w:ilvl="7" w:tplc="24793034" w:tentative="1">
      <w:start w:val="1"/>
      <w:numFmt w:val="lowerLetter"/>
      <w:lvlText w:val="%8."/>
      <w:lvlJc w:val="left"/>
      <w:pPr>
        <w:ind w:left="5760" w:hanging="360"/>
      </w:pPr>
    </w:lvl>
    <w:lvl w:ilvl="8" w:tplc="24793034" w:tentative="1">
      <w:start w:val="1"/>
      <w:numFmt w:val="lowerRoman"/>
      <w:lvlText w:val="%9."/>
      <w:lvlJc w:val="right"/>
      <w:pPr>
        <w:ind w:left="6480" w:hanging="180"/>
      </w:pPr>
    </w:lvl>
  </w:abstractNum>
  <w:abstractNum w:abstractNumId="50162914">
    <w:multiLevelType w:val="hybridMultilevel"/>
    <w:lvl w:ilvl="0" w:tplc="7025977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0162914">
    <w:abstractNumId w:val="50162914"/>
  </w:num>
  <w:num w:numId="50162915">
    <w:abstractNumId w:val="501629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89389959" Type="http://schemas.microsoft.com/office/2011/relationships/commentsExtended" Target="commentsExtended.xml"/><Relationship Id="rId56356629bb7d06542" Type="http://schemas.openxmlformats.org/officeDocument/2006/relationships/hyperlink" Target="https://gd.eppo.int/"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