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vesicatoria (Xanthomonas campestris pv. vesicatoria) (XANTVE)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Bulgaria (1993); Czech Republic (2015); France (1993); Greece (1996); Hungary (2000); Italy (1992); Italy/Sicilia (1994); Italy/Sardegna (1994); Poland (2011); Romania (1992); Slovakia (1995); Slovenia (1995); Spain (2016)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6176629039a4b487"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243293">
    <w:multiLevelType w:val="hybridMultilevel"/>
    <w:lvl w:ilvl="0" w:tplc="76248546">
      <w:start w:val="1"/>
      <w:numFmt w:val="decimal"/>
      <w:lvlText w:val="%1."/>
      <w:lvlJc w:val="left"/>
      <w:pPr>
        <w:ind w:left="720" w:hanging="360"/>
      </w:pPr>
    </w:lvl>
    <w:lvl w:ilvl="1" w:tplc="76248546" w:tentative="1">
      <w:start w:val="1"/>
      <w:numFmt w:val="lowerLetter"/>
      <w:lvlText w:val="%2."/>
      <w:lvlJc w:val="left"/>
      <w:pPr>
        <w:ind w:left="1440" w:hanging="360"/>
      </w:pPr>
    </w:lvl>
    <w:lvl w:ilvl="2" w:tplc="76248546" w:tentative="1">
      <w:start w:val="1"/>
      <w:numFmt w:val="lowerRoman"/>
      <w:lvlText w:val="%3."/>
      <w:lvlJc w:val="right"/>
      <w:pPr>
        <w:ind w:left="2160" w:hanging="180"/>
      </w:pPr>
    </w:lvl>
    <w:lvl w:ilvl="3" w:tplc="76248546" w:tentative="1">
      <w:start w:val="1"/>
      <w:numFmt w:val="decimal"/>
      <w:lvlText w:val="%4."/>
      <w:lvlJc w:val="left"/>
      <w:pPr>
        <w:ind w:left="2880" w:hanging="360"/>
      </w:pPr>
    </w:lvl>
    <w:lvl w:ilvl="4" w:tplc="76248546" w:tentative="1">
      <w:start w:val="1"/>
      <w:numFmt w:val="lowerLetter"/>
      <w:lvlText w:val="%5."/>
      <w:lvlJc w:val="left"/>
      <w:pPr>
        <w:ind w:left="3600" w:hanging="360"/>
      </w:pPr>
    </w:lvl>
    <w:lvl w:ilvl="5" w:tplc="76248546" w:tentative="1">
      <w:start w:val="1"/>
      <w:numFmt w:val="lowerRoman"/>
      <w:lvlText w:val="%6."/>
      <w:lvlJc w:val="right"/>
      <w:pPr>
        <w:ind w:left="4320" w:hanging="180"/>
      </w:pPr>
    </w:lvl>
    <w:lvl w:ilvl="6" w:tplc="76248546" w:tentative="1">
      <w:start w:val="1"/>
      <w:numFmt w:val="decimal"/>
      <w:lvlText w:val="%7."/>
      <w:lvlJc w:val="left"/>
      <w:pPr>
        <w:ind w:left="5040" w:hanging="360"/>
      </w:pPr>
    </w:lvl>
    <w:lvl w:ilvl="7" w:tplc="76248546" w:tentative="1">
      <w:start w:val="1"/>
      <w:numFmt w:val="lowerLetter"/>
      <w:lvlText w:val="%8."/>
      <w:lvlJc w:val="left"/>
      <w:pPr>
        <w:ind w:left="5760" w:hanging="360"/>
      </w:pPr>
    </w:lvl>
    <w:lvl w:ilvl="8" w:tplc="76248546" w:tentative="1">
      <w:start w:val="1"/>
      <w:numFmt w:val="lowerRoman"/>
      <w:lvlText w:val="%9."/>
      <w:lvlJc w:val="right"/>
      <w:pPr>
        <w:ind w:left="6480" w:hanging="180"/>
      </w:pPr>
    </w:lvl>
  </w:abstractNum>
  <w:abstractNum w:abstractNumId="70243292">
    <w:multiLevelType w:val="hybridMultilevel"/>
    <w:lvl w:ilvl="0" w:tplc="23601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243292">
    <w:abstractNumId w:val="70243292"/>
  </w:num>
  <w:num w:numId="70243293">
    <w:abstractNumId w:val="702432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9066776" Type="http://schemas.microsoft.com/office/2011/relationships/commentsExtended" Target="commentsExtended.xml"/><Relationship Id="rId36176629039a4b48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