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associated with Vaccinium (Blueberry witches broom phytoplasma) (1PHYPG*)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Blueberry witches' broom phytoplasma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00000"/>
          <w:sz w:val="24"/>
          <w:szCs w:val="24"/>
          <w:u w:val="single"/>
        </w:rPr>
        <w:br/>
        <w:t xml:space="preserve">Is the pest defined at the species level or lower?:</w:t>
      </w:r>
      <w:r>
        <w:rPr>
          <w:color w:val="000000"/>
          <w:sz w:val="24"/>
          <w:szCs w:val="24"/>
        </w:rPr>
        <w:t xml:space="preserve">
</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Null: Fruits (including hops)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Fruits (including hops)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Instead of listing Blueberry witches' broom phytoplasma, the Fruit SEWG proposed to discard all names of phytoplasma listed in the EU Marketing Directive and to add all phytoplasma species reported from naturally infected Vaccinium plants. This would consist in the listing of ‘Candidatus Phytoplasma pruni’, ‘Candidatus Phytoplasma asteris’ [Blueberry stunt phytoplasma], ‘Candidatus Phytoplasma solani’ [Blueberry Reddening disease], and the Cranberry false blossom phytoplasma.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00000"/>
          <w:sz w:val="24"/>
          <w:szCs w:val="24"/>
          <w:u w:val="single"/>
        </w:rPr>
        <w:br/>
        <w:t xml:space="preserve">Presence in the EU:</w:t>
      </w:r>
      <w:r>
        <w:rPr>
          <w:color w:val="000000"/>
          <w:sz w:val="24"/>
          <w:szCs w:val="24"/>
        </w:rPr>
        <w:t xml:space="preserve">
</w:t>
      </w:r>
      <w:r>
        <w:rPr>
          <w:color w:val="000000"/>
          <w:sz w:val="24"/>
          <w:szCs w:val="24"/>
          <w:u w:val="single"/>
        </w:rPr>
        <w:br/>
        <w:t xml:space="preserve">Conclusion:</w:t>
      </w:r>
      <w:r>
        <w:rPr>
          <w:color w:val="000000"/>
          <w:sz w:val="24"/>
          <w:szCs w:val="24"/>
        </w:rPr>
        <w:t xml:space="preserve">
</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Vaccinium (1VACG)</w:t>
      </w:r>
      <w:r>
        <w:rPr>
          <w:color w:val="000000"/>
          <w:sz w:val="24"/>
          <w:szCs w:val="24"/>
        </w:rPr>
        <w:t xml:space="preserve"> for the Fruits (including hops) sector.</w:t>
      </w:r>
    </w:p>
    <w:p/>
    <w:p>
      <w:pPr>
        <w:widowControl w:val="on"/>
        <w:pBdr/>
        <w:spacing w:before="0" w:after="0" w:line="240" w:lineRule="auto"/>
        <w:ind w:left="0" w:right="0"/>
        <w:jc w:val="left"/>
      </w:pPr>
      <w:r>
        <w:rPr>
          <w:b/>
          <w:bCs/>
          <w:color w:val="000000"/>
          <w:sz w:val="24"/>
          <w:szCs w:val="24"/>
          <w:u w:val="single"/>
        </w:rPr>
        <w:t xml:space="preserve">CONCLUSION ON THE STATUS:</w:t>
      </w:r>
      <w:r>
        <w:rPr>
          <w:color w:val="000000"/>
          <w:sz w:val="24"/>
          <w:szCs w:val="24"/>
        </w:rPr>
        <w:t xml:space="preserve">
</w:t>
      </w:r>
      <w:r>
        <w:rPr>
          <w:color w:val="0200C9"/>
          <w:sz w:val="24"/>
          <w:szCs w:val="24"/>
        </w:rPr>
        <w:t xml:space="preserve">Not evaluated: from the fruit Marketing Directive (see Terms of reference)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826815">
    <w:multiLevelType w:val="hybridMultilevel"/>
    <w:lvl w:ilvl="0" w:tplc="91914313">
      <w:start w:val="1"/>
      <w:numFmt w:val="decimal"/>
      <w:lvlText w:val="%1."/>
      <w:lvlJc w:val="left"/>
      <w:pPr>
        <w:ind w:left="720" w:hanging="360"/>
      </w:pPr>
    </w:lvl>
    <w:lvl w:ilvl="1" w:tplc="91914313" w:tentative="1">
      <w:start w:val="1"/>
      <w:numFmt w:val="lowerLetter"/>
      <w:lvlText w:val="%2."/>
      <w:lvlJc w:val="left"/>
      <w:pPr>
        <w:ind w:left="1440" w:hanging="360"/>
      </w:pPr>
    </w:lvl>
    <w:lvl w:ilvl="2" w:tplc="91914313" w:tentative="1">
      <w:start w:val="1"/>
      <w:numFmt w:val="lowerRoman"/>
      <w:lvlText w:val="%3."/>
      <w:lvlJc w:val="right"/>
      <w:pPr>
        <w:ind w:left="2160" w:hanging="180"/>
      </w:pPr>
    </w:lvl>
    <w:lvl w:ilvl="3" w:tplc="91914313" w:tentative="1">
      <w:start w:val="1"/>
      <w:numFmt w:val="decimal"/>
      <w:lvlText w:val="%4."/>
      <w:lvlJc w:val="left"/>
      <w:pPr>
        <w:ind w:left="2880" w:hanging="360"/>
      </w:pPr>
    </w:lvl>
    <w:lvl w:ilvl="4" w:tplc="91914313" w:tentative="1">
      <w:start w:val="1"/>
      <w:numFmt w:val="lowerLetter"/>
      <w:lvlText w:val="%5."/>
      <w:lvlJc w:val="left"/>
      <w:pPr>
        <w:ind w:left="3600" w:hanging="360"/>
      </w:pPr>
    </w:lvl>
    <w:lvl w:ilvl="5" w:tplc="91914313" w:tentative="1">
      <w:start w:val="1"/>
      <w:numFmt w:val="lowerRoman"/>
      <w:lvlText w:val="%6."/>
      <w:lvlJc w:val="right"/>
      <w:pPr>
        <w:ind w:left="4320" w:hanging="180"/>
      </w:pPr>
    </w:lvl>
    <w:lvl w:ilvl="6" w:tplc="91914313" w:tentative="1">
      <w:start w:val="1"/>
      <w:numFmt w:val="decimal"/>
      <w:lvlText w:val="%7."/>
      <w:lvlJc w:val="left"/>
      <w:pPr>
        <w:ind w:left="5040" w:hanging="360"/>
      </w:pPr>
    </w:lvl>
    <w:lvl w:ilvl="7" w:tplc="91914313" w:tentative="1">
      <w:start w:val="1"/>
      <w:numFmt w:val="lowerLetter"/>
      <w:lvlText w:val="%8."/>
      <w:lvlJc w:val="left"/>
      <w:pPr>
        <w:ind w:left="5760" w:hanging="360"/>
      </w:pPr>
    </w:lvl>
    <w:lvl w:ilvl="8" w:tplc="91914313" w:tentative="1">
      <w:start w:val="1"/>
      <w:numFmt w:val="lowerRoman"/>
      <w:lvlText w:val="%9."/>
      <w:lvlJc w:val="right"/>
      <w:pPr>
        <w:ind w:left="6480" w:hanging="180"/>
      </w:pPr>
    </w:lvl>
  </w:abstractNum>
  <w:abstractNum w:abstractNumId="50826814">
    <w:multiLevelType w:val="hybridMultilevel"/>
    <w:lvl w:ilvl="0" w:tplc="24476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826814">
    <w:abstractNumId w:val="50826814"/>
  </w:num>
  <w:num w:numId="50826815">
    <w:abstractNumId w:val="508268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31846124"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