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Pepper chat fruit viroid PCFVD0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F30000"/>
          <w:sz w:val="24"/>
          <w:szCs w:val="24"/>
        </w:rPr>
        <w:t xml:space="preserve">No</w:t>
      </w:r>
      <w:r>
        <w:rPr>
          <w:color w:val="000000"/>
          <w:sz w:val="24"/>
          <w:szCs w:val="24"/>
          <w:u w:val="single"/>
        </w:rPr>
        <w:br/>
        <w:t xml:space="preserve">Presence in the EU:</w:t>
      </w:r>
      <w:r>
        <w:rPr>
          <w:color w:val="000000"/>
          <w:sz w:val="24"/>
          <w:szCs w:val="24"/>
        </w:rPr>
        <w:t xml:space="preserve">
</w:t>
      </w:r>
      <w:r>
        <w:rPr>
          <w:color w:val="F30000"/>
          <w:sz w:val="24"/>
          <w:szCs w:val="24"/>
        </w:rPr>
        <w:t xml:space="preserve">No</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 (if necessary):</w:t>
      </w:r>
      <w:r>
        <w:rPr>
          <w:color w:val="000000"/>
          <w:sz w:val="24"/>
          <w:szCs w:val="24"/>
        </w:rPr>
        <w:t xml:space="preserve">
</w:t>
      </w:r>
      <w:r>
        <w:rPr>
          <w:color w:val="F30000"/>
          <w:sz w:val="24"/>
          <w:szCs w:val="24"/>
        </w:rPr>
        <w:t xml:space="preserve">The pest is not known to be present in Europe (but rather limited survey effort). The pest is only reported in Thailand and Canada (Ontario) (</w:t>
      </w:r>
      <w:hyperlink r:id="rId22796a7029aabe591" w:history="1">
        <w:r>
          <w:rPr>
            <w:color w:val="F30000"/>
            <w:sz w:val="24"/>
            <w:szCs w:val="24"/>
          </w:rPr>
          <w:t xml:space="preserve">https://gd.eppo.int/</w:t>
        </w:r>
      </w:hyperlink>
      <w:r>
        <w:rPr>
          <w:color w:val="F30000"/>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Capsicum annuum (CPSAN)</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EFSA PRA (EFSA PLH, 2011)</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The pest is not known to be present in Europe (but rather limited survey effort). The pest should be evaluated as a candidate for the Quarantine pest status. If PCFVd is not regulated as a Quarantine pest, given that it is very similar to other Solanaceous pospiviroids, experts would recommend regulating the pest as a RNQP using same tolerance levels and risk management measures than for other solanaceous pospiviroids.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(2011) Scientific Opinion on the assessment of the risk of solanaceous pospiviroids for the EU territory and the identification and evaluation of risk management options. EFSA Journal 2011;9(8):2330 [132 pp.]. doi:10.2903/j.efsa.2011. 2330; www.efsa.europa.eu/efsajournal;</w:t>
      </w:r>
    </w:p>
    <w:p>
      <w:pPr>
        <w:numPr>
          <w:ilvl w:val="0"/>
          <w:numId w:val="1"/>
        </w:numPr>
        <w:spacing w:before="0" w:after="0" w:line="240" w:lineRule="auto"/>
        <w:jc w:val="left"/>
        <w:rPr>
          <w:color w:val="0200C9"/>
          <w:sz w:val="24"/>
          <w:szCs w:val="24"/>
        </w:rPr>
      </w:pPr>
      <w:r>
        <w:rPr>
          <w:color w:val="0200C9"/>
          <w:sz w:val="24"/>
          <w:szCs w:val="24"/>
        </w:rPr>
        <w:t xml:space="preserve">EPPO (2016) Report of a Pest Risk Analysis for Pepper chat fruit viroid;</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0240622">
    <w:multiLevelType w:val="hybridMultilevel"/>
    <w:lvl w:ilvl="0" w:tplc="49283349">
      <w:start w:val="1"/>
      <w:numFmt w:val="decimal"/>
      <w:lvlText w:val="%1."/>
      <w:lvlJc w:val="left"/>
      <w:pPr>
        <w:ind w:left="720" w:hanging="360"/>
      </w:pPr>
    </w:lvl>
    <w:lvl w:ilvl="1" w:tplc="49283349" w:tentative="1">
      <w:start w:val="1"/>
      <w:numFmt w:val="lowerLetter"/>
      <w:lvlText w:val="%2."/>
      <w:lvlJc w:val="left"/>
      <w:pPr>
        <w:ind w:left="1440" w:hanging="360"/>
      </w:pPr>
    </w:lvl>
    <w:lvl w:ilvl="2" w:tplc="49283349" w:tentative="1">
      <w:start w:val="1"/>
      <w:numFmt w:val="lowerRoman"/>
      <w:lvlText w:val="%3."/>
      <w:lvlJc w:val="right"/>
      <w:pPr>
        <w:ind w:left="2160" w:hanging="180"/>
      </w:pPr>
    </w:lvl>
    <w:lvl w:ilvl="3" w:tplc="49283349" w:tentative="1">
      <w:start w:val="1"/>
      <w:numFmt w:val="decimal"/>
      <w:lvlText w:val="%4."/>
      <w:lvlJc w:val="left"/>
      <w:pPr>
        <w:ind w:left="2880" w:hanging="360"/>
      </w:pPr>
    </w:lvl>
    <w:lvl w:ilvl="4" w:tplc="49283349" w:tentative="1">
      <w:start w:val="1"/>
      <w:numFmt w:val="lowerLetter"/>
      <w:lvlText w:val="%5."/>
      <w:lvlJc w:val="left"/>
      <w:pPr>
        <w:ind w:left="3600" w:hanging="360"/>
      </w:pPr>
    </w:lvl>
    <w:lvl w:ilvl="5" w:tplc="49283349" w:tentative="1">
      <w:start w:val="1"/>
      <w:numFmt w:val="lowerRoman"/>
      <w:lvlText w:val="%6."/>
      <w:lvlJc w:val="right"/>
      <w:pPr>
        <w:ind w:left="4320" w:hanging="180"/>
      </w:pPr>
    </w:lvl>
    <w:lvl w:ilvl="6" w:tplc="49283349" w:tentative="1">
      <w:start w:val="1"/>
      <w:numFmt w:val="decimal"/>
      <w:lvlText w:val="%7."/>
      <w:lvlJc w:val="left"/>
      <w:pPr>
        <w:ind w:left="5040" w:hanging="360"/>
      </w:pPr>
    </w:lvl>
    <w:lvl w:ilvl="7" w:tplc="49283349" w:tentative="1">
      <w:start w:val="1"/>
      <w:numFmt w:val="lowerLetter"/>
      <w:lvlText w:val="%8."/>
      <w:lvlJc w:val="left"/>
      <w:pPr>
        <w:ind w:left="5760" w:hanging="360"/>
      </w:pPr>
    </w:lvl>
    <w:lvl w:ilvl="8" w:tplc="49283349" w:tentative="1">
      <w:start w:val="1"/>
      <w:numFmt w:val="lowerRoman"/>
      <w:lvlText w:val="%9."/>
      <w:lvlJc w:val="right"/>
      <w:pPr>
        <w:ind w:left="6480" w:hanging="180"/>
      </w:pPr>
    </w:lvl>
  </w:abstractNum>
  <w:abstractNum w:abstractNumId="40240621">
    <w:multiLevelType w:val="hybridMultilevel"/>
    <w:lvl w:ilvl="0" w:tplc="4273992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0240621">
    <w:abstractNumId w:val="40240621"/>
  </w:num>
  <w:num w:numId="40240622">
    <w:abstractNumId w:val="402406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73938466" Type="http://schemas.microsoft.com/office/2011/relationships/commentsExtended" Target="commentsExtended.xml"/><Relationship Id="rId22796a7029aabe591"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