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Columnea latent viroid CLVD00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discrimination is based on sequence similarity level (less than 90% sequence identity of the total viroid genome) and on distinctive biological properties. Pospiviroid detection is done by using RT-PCR with generic primers for broad but specific amplification of pospiviroids. In addition other molecular</w:t>
      </w:r>
      <w:r>
        <w:rPr>
          <w:color w:val="0200C9"/>
          <w:sz w:val="24"/>
          <w:szCs w:val="24"/>
        </w:rPr>
        <w:br/>
        <w:t xml:space="preserve">methods, including (i) Northern blot hybridisation assays using species-specific probes that to a lower extent also show cross-hybridization with other members of the genus, (ii) RT-PCR and (iii) real-time RT-PCR, allow reliable detection of pospiviroids. Sequence analysis of RT-PCR products permits identification of pospiviroid species. 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Denmark (2010); France (2010); Italy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8746ae753da8ef6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CLVd through seed has not been proven in tomato (EFSA-PLH, 2011) although seed transmission was linked to several outbreaks of CLVd in the UK (Sansford and Morris, 2010). Nevertheless, behaviour is assumed by analogy with those viroid species that are seed transmissible: For CLVd seed transmission, a high probability rating is suggested by analogy, but this rating is associated with a high uncertainty. There is experimental and circumstantial evidence that CLVd can be spread between crops by mechanical transmission in tomato (EFSA-PLH, 2011) and thus any infection arising from seed will likely spread rapidly to neighbouring susceptible plant species in the nursery. Therefore plants for planting (arising from infected seed, or mechanical means from other hosts), are considered a significant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With PSTVd, severity may vary with the tomato cultivar.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 Fruit production generally stops on infected plants, yield loss is strongly dependent on the age at which plants become infected. Early infection, before fruit setting, will result in close to 100% loss, while losses associated with later infections are more variable. Delay in fruit ripening, storage life and management costs are also likely (EFSA,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 pest should be first evaluated as a candidate for the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The plants have been grown from seed that meet the requirements laid down; and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Columnea latent viroid have been observed on plants at the site of production since the beginning of the last complete cycle of vegetation.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Columnea latent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07509">
    <w:multiLevelType w:val="hybridMultilevel"/>
    <w:lvl w:ilvl="0" w:tplc="39522335">
      <w:start w:val="1"/>
      <w:numFmt w:val="decimal"/>
      <w:lvlText w:val="%1."/>
      <w:lvlJc w:val="left"/>
      <w:pPr>
        <w:ind w:left="720" w:hanging="360"/>
      </w:pPr>
    </w:lvl>
    <w:lvl w:ilvl="1" w:tplc="39522335" w:tentative="1">
      <w:start w:val="1"/>
      <w:numFmt w:val="lowerLetter"/>
      <w:lvlText w:val="%2."/>
      <w:lvlJc w:val="left"/>
      <w:pPr>
        <w:ind w:left="1440" w:hanging="360"/>
      </w:pPr>
    </w:lvl>
    <w:lvl w:ilvl="2" w:tplc="39522335" w:tentative="1">
      <w:start w:val="1"/>
      <w:numFmt w:val="lowerRoman"/>
      <w:lvlText w:val="%3."/>
      <w:lvlJc w:val="right"/>
      <w:pPr>
        <w:ind w:left="2160" w:hanging="180"/>
      </w:pPr>
    </w:lvl>
    <w:lvl w:ilvl="3" w:tplc="39522335" w:tentative="1">
      <w:start w:val="1"/>
      <w:numFmt w:val="decimal"/>
      <w:lvlText w:val="%4."/>
      <w:lvlJc w:val="left"/>
      <w:pPr>
        <w:ind w:left="2880" w:hanging="360"/>
      </w:pPr>
    </w:lvl>
    <w:lvl w:ilvl="4" w:tplc="39522335" w:tentative="1">
      <w:start w:val="1"/>
      <w:numFmt w:val="lowerLetter"/>
      <w:lvlText w:val="%5."/>
      <w:lvlJc w:val="left"/>
      <w:pPr>
        <w:ind w:left="3600" w:hanging="360"/>
      </w:pPr>
    </w:lvl>
    <w:lvl w:ilvl="5" w:tplc="39522335" w:tentative="1">
      <w:start w:val="1"/>
      <w:numFmt w:val="lowerRoman"/>
      <w:lvlText w:val="%6."/>
      <w:lvlJc w:val="right"/>
      <w:pPr>
        <w:ind w:left="4320" w:hanging="180"/>
      </w:pPr>
    </w:lvl>
    <w:lvl w:ilvl="6" w:tplc="39522335" w:tentative="1">
      <w:start w:val="1"/>
      <w:numFmt w:val="decimal"/>
      <w:lvlText w:val="%7."/>
      <w:lvlJc w:val="left"/>
      <w:pPr>
        <w:ind w:left="5040" w:hanging="360"/>
      </w:pPr>
    </w:lvl>
    <w:lvl w:ilvl="7" w:tplc="39522335" w:tentative="1">
      <w:start w:val="1"/>
      <w:numFmt w:val="lowerLetter"/>
      <w:lvlText w:val="%8."/>
      <w:lvlJc w:val="left"/>
      <w:pPr>
        <w:ind w:left="5760" w:hanging="360"/>
      </w:pPr>
    </w:lvl>
    <w:lvl w:ilvl="8" w:tplc="39522335" w:tentative="1">
      <w:start w:val="1"/>
      <w:numFmt w:val="lowerRoman"/>
      <w:lvlText w:val="%9."/>
      <w:lvlJc w:val="right"/>
      <w:pPr>
        <w:ind w:left="6480" w:hanging="180"/>
      </w:pPr>
    </w:lvl>
  </w:abstractNum>
  <w:abstractNum w:abstractNumId="54807508">
    <w:multiLevelType w:val="hybridMultilevel"/>
    <w:lvl w:ilvl="0" w:tplc="69134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07508">
    <w:abstractNumId w:val="54807508"/>
  </w:num>
  <w:num w:numId="54807509">
    <w:abstractNumId w:val="54807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5372670" Type="http://schemas.microsoft.com/office/2011/relationships/commentsExtended" Target="commentsExtended.xml"/><Relationship Id="rId68746ae753da8ef64"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