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Columnea latent viroid (CLVD00)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Species discrimination is based on sequence similarity level (less than 90% sequence identity of the total viroid genome) and on distinctive biological properties. Pospiviroid detection is done by using RT-PCR with generic primers for broad but specific amplification of pospiviroids. In addition other molecular</w:t>
      </w:r>
      <w:r>
        <w:rPr>
          <w:color w:val="0200C9"/>
          <w:sz w:val="24"/>
          <w:szCs w:val="24"/>
        </w:rPr>
        <w:br/>
        <w:t xml:space="preserve">methods, including (i) Northern blot hybridisation assays using species-specific probes that to a lower extent also show cross-hybridization with other members of the genus, (ii) RT-PCR and (iii) real-time RT-PCR, allow reliable detection of pospiviroids. Sequence analysis of RT-PCR products permits identification of pospiviroid species. Overall, methods for reliable detection and identification/discrimination of pospiviroids are available, although their high sensitivity implies the risk of false-positive reactions because of cross-contamination. These techniques are already widely used by EU MS as indicated by the answers received to the questionnaire sent by EFSA (EFSA PLH, 2011).</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Denmark (2010); France (2010); Italy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99766623b573ef960"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lycopersicum (LYPES)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EFSA PRA (EFSA PLH, 2011)</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Transmission of CLVd through seed has not been proven in tomato (EFSA-PLH, 2011) although seed transmission was linked to several outbreaks of CLVd in the UK (Sansford and Morris, 2010). Nevertheless, behaviour is assumed by analogy with those viroid species that are seed transmissible: For CLVd seed transmission, a high probability rating is suggested by analogy, but this rating is associated with a high uncertainty. There is experimental and circumstantial evidence that CLVd can be spread between crops by mechanical transmission in tomato (EFSA-PLH, 2011) and thus any infection arising from seed will likely spread rapidly to neighbouring susceptible plant species in the nursery. Therefore plants for planting (arising from infected seed, or mechanical means from other hosts), are considered a significant pathway for this pest/host/intended use combination.</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All pospiviroids cause similar symptoms in tomato, independent of the viroid species. With PSTVd, severity may vary with the tomato cultivar. Symptoms are most conspicuous when plants become infected at early stages of development and when grown at high temperatures and light intensity. The first symptoms are growth reduction and chlorosis in the upper leaves, subsequently, this may develop into permanent stunting and bunchy growth. Occasionally, plants may either die or partially recover. Usually, symptoms are observed along rows in the fields and greenhouses, indicating that the viroid spreads mechanically during crop handling. Fruit production generally stops on infected plants, yield loss is strongly dependent on the age at which plants become infected. Early infection, before fruit setting, will result in close to 100% loss, while losses associated with later infections are more variable. Delay in fruit ripening, storage life and management costs are also likely (EFSA, 2011).</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Overall there is ample evidence that significant yield losses may result from pospiviroid infections in tomato and the impact is therefore expected to be major, with low uncertainty (EFSA-PLH, 2011). The economic impact is evaluated as unacceptable on Tomato.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There is no management option that can prevent infestation other than exclusion and avoiding the use of infected plants (EFSA-PLH, 2011). Visual examination and testing in case of symptoms should be an effective measures. This position is reinforced by risk management measures set up for PSTVd that significantly reduced the incidence of this pathogen.</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The pest should be first evaluated as a candidate for the Quarantine pest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Plants:</w:t>
      </w:r>
      <w:r>
        <w:rPr>
          <w:color w:val="0200C9"/>
          <w:sz w:val="24"/>
          <w:szCs w:val="24"/>
        </w:rPr>
        <w:br/>
        <w:t xml:space="preserve">(a) The plants have been grown from seed that meet the requirements laid down; and have been maintained in isolation from other potential sources of infection, including host plants which may be latently infected;</w:t>
      </w:r>
      <w:r>
        <w:rPr>
          <w:color w:val="0200C9"/>
          <w:sz w:val="24"/>
          <w:szCs w:val="24"/>
        </w:rPr>
        <w:br/>
        <w:t xml:space="preserve">and</w:t>
      </w:r>
      <w:r>
        <w:rPr>
          <w:color w:val="0200C9"/>
          <w:sz w:val="24"/>
          <w:szCs w:val="24"/>
        </w:rPr>
        <w:br/>
        <w:t xml:space="preserve">(b) No symptoms of Columnea latent viroid have been observed on plants at the site of production since the beginning of the last complete cycle of vegetation.</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the Pest free area option is not reliable because of the risk linked to ornamentals constantly marketed in the area. They also commented that available data do not justify testing of seed lots for pospiviroids: only very few outbreaks of solanaceous pospiviroids have been reported that may be related to infested/contaminated seed while various outbreaks could be related to pospiviroid infestations in ornamentals. In addition, no seed transmission was found in recent experiments carried out in the Netherlands with ca 100.000 seeds from commercial seed lots infested with various solanaceous pospiviroids. However very low initial infestation rates lead in some cases to an unacceptable economic impact. Isolation from ornamentals (for CEVd, CLVd, TASVd and TCDVd) and aubergine (for CEVd) is necessary for the production of reproductive material.</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(2011) Scientific Opinion on the assessment of the risk of solanaceous pospiviroids for the EU territory and the identification and evaluation of risk management options. EFSA Journal 2011;9(8):2330 [132 pp.]. doi:10.2903/j.efsa.2011. 2330;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(2016) Report of a Pest Risk Analysis for Columnea latent viroid;</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038265">
    <w:multiLevelType w:val="hybridMultilevel"/>
    <w:lvl w:ilvl="0" w:tplc="55294587">
      <w:start w:val="1"/>
      <w:numFmt w:val="decimal"/>
      <w:lvlText w:val="%1."/>
      <w:lvlJc w:val="left"/>
      <w:pPr>
        <w:ind w:left="720" w:hanging="360"/>
      </w:pPr>
    </w:lvl>
    <w:lvl w:ilvl="1" w:tplc="55294587" w:tentative="1">
      <w:start w:val="1"/>
      <w:numFmt w:val="lowerLetter"/>
      <w:lvlText w:val="%2."/>
      <w:lvlJc w:val="left"/>
      <w:pPr>
        <w:ind w:left="1440" w:hanging="360"/>
      </w:pPr>
    </w:lvl>
    <w:lvl w:ilvl="2" w:tplc="55294587" w:tentative="1">
      <w:start w:val="1"/>
      <w:numFmt w:val="lowerRoman"/>
      <w:lvlText w:val="%3."/>
      <w:lvlJc w:val="right"/>
      <w:pPr>
        <w:ind w:left="2160" w:hanging="180"/>
      </w:pPr>
    </w:lvl>
    <w:lvl w:ilvl="3" w:tplc="55294587" w:tentative="1">
      <w:start w:val="1"/>
      <w:numFmt w:val="decimal"/>
      <w:lvlText w:val="%4."/>
      <w:lvlJc w:val="left"/>
      <w:pPr>
        <w:ind w:left="2880" w:hanging="360"/>
      </w:pPr>
    </w:lvl>
    <w:lvl w:ilvl="4" w:tplc="55294587" w:tentative="1">
      <w:start w:val="1"/>
      <w:numFmt w:val="lowerLetter"/>
      <w:lvlText w:val="%5."/>
      <w:lvlJc w:val="left"/>
      <w:pPr>
        <w:ind w:left="3600" w:hanging="360"/>
      </w:pPr>
    </w:lvl>
    <w:lvl w:ilvl="5" w:tplc="55294587" w:tentative="1">
      <w:start w:val="1"/>
      <w:numFmt w:val="lowerRoman"/>
      <w:lvlText w:val="%6."/>
      <w:lvlJc w:val="right"/>
      <w:pPr>
        <w:ind w:left="4320" w:hanging="180"/>
      </w:pPr>
    </w:lvl>
    <w:lvl w:ilvl="6" w:tplc="55294587" w:tentative="1">
      <w:start w:val="1"/>
      <w:numFmt w:val="decimal"/>
      <w:lvlText w:val="%7."/>
      <w:lvlJc w:val="left"/>
      <w:pPr>
        <w:ind w:left="5040" w:hanging="360"/>
      </w:pPr>
    </w:lvl>
    <w:lvl w:ilvl="7" w:tplc="55294587" w:tentative="1">
      <w:start w:val="1"/>
      <w:numFmt w:val="lowerLetter"/>
      <w:lvlText w:val="%8."/>
      <w:lvlJc w:val="left"/>
      <w:pPr>
        <w:ind w:left="5760" w:hanging="360"/>
      </w:pPr>
    </w:lvl>
    <w:lvl w:ilvl="8" w:tplc="55294587" w:tentative="1">
      <w:start w:val="1"/>
      <w:numFmt w:val="lowerRoman"/>
      <w:lvlText w:val="%9."/>
      <w:lvlJc w:val="right"/>
      <w:pPr>
        <w:ind w:left="6480" w:hanging="180"/>
      </w:pPr>
    </w:lvl>
  </w:abstractNum>
  <w:abstractNum w:abstractNumId="72038264">
    <w:multiLevelType w:val="hybridMultilevel"/>
    <w:lvl w:ilvl="0" w:tplc="388742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038264">
    <w:abstractNumId w:val="72038264"/>
  </w:num>
  <w:num w:numId="72038265">
    <w:abstractNumId w:val="7203826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49837303" Type="http://schemas.microsoft.com/office/2011/relationships/commentsExtended" Target="commentsExtended.xml"/><Relationship Id="rId99766623b573ef960"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