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exocortis viroid (CEVD00)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(2010); Belgium (2014); Cyprus (2011); Czech Republic (2010); France (1979); France/Corse (1994); Germany (2008); Greece (2013); Italy (2011); Italy/Sicilia (1994); Italy/Sardegna (1994); Netherlands (2008); Portugal (2006); Slovenia (2011); Spain (1979)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273662aed494800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Solanum lycopersicum (EFSA, 2011) is described as a host plant. The two most important means of spread are mechanical transmission and plant for planting (except seeds). Two other means of spread are, seed- and pollen- transmission, and insect transmission, and need to be considered although they are less important (EPPO, 2016). If CEVd is present on the plants for planting (including seeds), this will be considered to be the main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 severity may vary both within and between species but also with the tomato cultivar. As fruit production generally stops on infected plants, yield loss is strongly dependent on the age at which plants become infected. Early infection, before fruit setting, will result in close to 100% loss, while losses associated with later infections are more variable, since fruits initiated before the onset of foliar symptoms may still develop to a marketable size. Very variable infection rates have been observed in pospiviroids outbreaks in glasshouses, inducing in turn very variable yield losses when assessing them at the glasshouse level. Nevertheless, overall there is sufficient evidence that significant yield losses may result from pospiviroid infections in tomato and the impact is therefore expected to be major, with low uncertainty (EPPO,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Unacceptable economic impact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The plants have been grown from seed that meet the requirements laid down; and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Citrus exocortis viroid have been observed on plants at the site of production since the beginning of the last complete cycle of vegetation.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sold all year long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Citrus exocortis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449482">
    <w:multiLevelType w:val="hybridMultilevel"/>
    <w:lvl w:ilvl="0" w:tplc="24962272">
      <w:start w:val="1"/>
      <w:numFmt w:val="decimal"/>
      <w:lvlText w:val="%1."/>
      <w:lvlJc w:val="left"/>
      <w:pPr>
        <w:ind w:left="720" w:hanging="360"/>
      </w:pPr>
    </w:lvl>
    <w:lvl w:ilvl="1" w:tplc="24962272" w:tentative="1">
      <w:start w:val="1"/>
      <w:numFmt w:val="lowerLetter"/>
      <w:lvlText w:val="%2."/>
      <w:lvlJc w:val="left"/>
      <w:pPr>
        <w:ind w:left="1440" w:hanging="360"/>
      </w:pPr>
    </w:lvl>
    <w:lvl w:ilvl="2" w:tplc="24962272" w:tentative="1">
      <w:start w:val="1"/>
      <w:numFmt w:val="lowerRoman"/>
      <w:lvlText w:val="%3."/>
      <w:lvlJc w:val="right"/>
      <w:pPr>
        <w:ind w:left="2160" w:hanging="180"/>
      </w:pPr>
    </w:lvl>
    <w:lvl w:ilvl="3" w:tplc="24962272" w:tentative="1">
      <w:start w:val="1"/>
      <w:numFmt w:val="decimal"/>
      <w:lvlText w:val="%4."/>
      <w:lvlJc w:val="left"/>
      <w:pPr>
        <w:ind w:left="2880" w:hanging="360"/>
      </w:pPr>
    </w:lvl>
    <w:lvl w:ilvl="4" w:tplc="24962272" w:tentative="1">
      <w:start w:val="1"/>
      <w:numFmt w:val="lowerLetter"/>
      <w:lvlText w:val="%5."/>
      <w:lvlJc w:val="left"/>
      <w:pPr>
        <w:ind w:left="3600" w:hanging="360"/>
      </w:pPr>
    </w:lvl>
    <w:lvl w:ilvl="5" w:tplc="24962272" w:tentative="1">
      <w:start w:val="1"/>
      <w:numFmt w:val="lowerRoman"/>
      <w:lvlText w:val="%6."/>
      <w:lvlJc w:val="right"/>
      <w:pPr>
        <w:ind w:left="4320" w:hanging="180"/>
      </w:pPr>
    </w:lvl>
    <w:lvl w:ilvl="6" w:tplc="24962272" w:tentative="1">
      <w:start w:val="1"/>
      <w:numFmt w:val="decimal"/>
      <w:lvlText w:val="%7."/>
      <w:lvlJc w:val="left"/>
      <w:pPr>
        <w:ind w:left="5040" w:hanging="360"/>
      </w:pPr>
    </w:lvl>
    <w:lvl w:ilvl="7" w:tplc="24962272" w:tentative="1">
      <w:start w:val="1"/>
      <w:numFmt w:val="lowerLetter"/>
      <w:lvlText w:val="%8."/>
      <w:lvlJc w:val="left"/>
      <w:pPr>
        <w:ind w:left="5760" w:hanging="360"/>
      </w:pPr>
    </w:lvl>
    <w:lvl w:ilvl="8" w:tplc="24962272" w:tentative="1">
      <w:start w:val="1"/>
      <w:numFmt w:val="lowerRoman"/>
      <w:lvlText w:val="%9."/>
      <w:lvlJc w:val="right"/>
      <w:pPr>
        <w:ind w:left="6480" w:hanging="180"/>
      </w:pPr>
    </w:lvl>
  </w:abstractNum>
  <w:abstractNum w:abstractNumId="65449481">
    <w:multiLevelType w:val="hybridMultilevel"/>
    <w:lvl w:ilvl="0" w:tplc="179140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449481">
    <w:abstractNumId w:val="65449481"/>
  </w:num>
  <w:num w:numId="65449482">
    <w:abstractNumId w:val="654494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3633154" Type="http://schemas.microsoft.com/office/2011/relationships/commentsExtended" Target="commentsExtended.xml"/><Relationship Id="rId8273662aed494800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