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exocortis viroid CEVD00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Overall, methods for reliable detection and identification/discrimination of pospiviroids are available, although their high sensitivity implies the risk of false-positive reactions because of cross-contamination. These techniques are already widely used by EU MS as indicated by the answers received to the questionnaire sent by EFSA (EFSA PLH, 2011).</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(2010); Belgium (2014); Cyprus (2011); Czech Republic (2010); France (1979); France/Corse (1994); Germany (2008); Greece (2013); Italy (2011); Italy/Sicilia (1994); Italy/Sardegna (1994); Netherlands (2008); Portugal (2006); Slovenia (2011); Spain (1979)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1316a8d0bdc791cc" w:history="1">
        <w:r>
          <w:rPr>
            <w:color w:val="0200C9"/>
            <w:sz w:val="24"/>
            <w:szCs w:val="24"/>
          </w:rPr>
          <w:t xml:space="preserve">https://gd.eppo.int/</w:t>
        </w:r>
      </w:hyperlink>
      <w:r>
        <w:rPr>
          <w:color w:val="0200C9"/>
          <w:sz w:val="24"/>
          <w:szCs w:val="24"/>
        </w:rPr>
        <w:t xml:space="preserve">). The report of a Pest Risk Analysis for Citrus exocortis viroid (EPPO, 2016), mainly based on EFSA PRA for solanaceous pospiviroids, lists the Countries where this pest is present: Austria, Belgium, Cyprus, Czech Republic, France, Germany, Greece, Italy, Montenegro, the Netherlands, Portugal, Russian Federation, Serbia, Slovenia, Spain and Turkey.</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Solanum lycopersicum (EFSA, 2011) is described as a host plant. The two most important means of spread are mechanical transmission and plant for planting (except seeds). Two other means of spread are, seed- and pollen- transmission, and insect transmission, and need to be considered although they are less important (EPPO, 2016). If CEVd is present on the plants for planting (including seeds), this will be considered to be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Symptom severity may vary both within and between species but also with the tomato cultivar. As fruit production generally stops on infected plants, yield loss is strongly dependent on the age at which plants become infected. Early infection, before fruit setting, will result in close to 100% loss, while losses associated with later infections are more variable, since fruits initiated before the onset of foliar symptoms may still develop to a marketable size. Very variable infection rates have been observed in pospiviroids outbreaks in glasshouses, inducing in turn very variable yield losses when assessing them at the glasshouse level. Nevertheless, overall there is sufficient evidence that significant yield losses may result from pospiviroid infections in tomato and the impact is therefore expected to be major, with low uncertainty (EPPO,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Visual examination and testing in case of symptoms should be an effective measures. This position is reinforced by risk management measures set up for PSTVd that significantly reduced the incidence of this pathogen.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by extrapolation from other pospiviroids for the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have been produced from mother plants which have been maintained in isolation from other potential sources of infection, including host plants which may be latently infected;</w:t>
      </w:r>
      <w:r>
        <w:rPr>
          <w:color w:val="0200C9"/>
          <w:sz w:val="24"/>
          <w:szCs w:val="24"/>
        </w:rPr>
        <w:br/>
        <w:t xml:space="preserve">and</w:t>
      </w:r>
      <w:r>
        <w:rPr>
          <w:color w:val="0200C9"/>
          <w:sz w:val="24"/>
          <w:szCs w:val="24"/>
        </w:rPr>
        <w:br/>
        <w:t xml:space="preserve">(b) No symptoms of Citrus exocortis viroid have been observed on mother plants at the site of production since the beginning of the last complete cycle of vegetation, or if symptoms have been seen, then the symptomatic plants have been tested and found free from Citrus exocortis viroid.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sold all year long in the area. They also commented that available data do not justify testing of seed lots for pospiviroids: only very few outbreaks of solanaceous pospiviroids have been reported that may be related to infested/contaminated seed while various outbreaks could be related to pospiviroid infestations in ornamentals. In addition, no seed transmission was found in recent experiments carried out in the Netherlands with ca 100.000 seeds from commercial seed lots infested with various solanaceous pospiviroids. However very low initial infestation rates lead in some cases to an unacceptable economic impact. Isolation from ornamentals (for CEVd, CLVd, TASVd and TCDVd) and aubergine (for CEVd) is necessary for the production of reproductive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Citrus exocortis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363321">
    <w:multiLevelType w:val="hybridMultilevel"/>
    <w:lvl w:ilvl="0" w:tplc="92865100">
      <w:start w:val="1"/>
      <w:numFmt w:val="decimal"/>
      <w:lvlText w:val="%1."/>
      <w:lvlJc w:val="left"/>
      <w:pPr>
        <w:ind w:left="720" w:hanging="360"/>
      </w:pPr>
    </w:lvl>
    <w:lvl w:ilvl="1" w:tplc="92865100" w:tentative="1">
      <w:start w:val="1"/>
      <w:numFmt w:val="lowerLetter"/>
      <w:lvlText w:val="%2."/>
      <w:lvlJc w:val="left"/>
      <w:pPr>
        <w:ind w:left="1440" w:hanging="360"/>
      </w:pPr>
    </w:lvl>
    <w:lvl w:ilvl="2" w:tplc="92865100" w:tentative="1">
      <w:start w:val="1"/>
      <w:numFmt w:val="lowerRoman"/>
      <w:lvlText w:val="%3."/>
      <w:lvlJc w:val="right"/>
      <w:pPr>
        <w:ind w:left="2160" w:hanging="180"/>
      </w:pPr>
    </w:lvl>
    <w:lvl w:ilvl="3" w:tplc="92865100" w:tentative="1">
      <w:start w:val="1"/>
      <w:numFmt w:val="decimal"/>
      <w:lvlText w:val="%4."/>
      <w:lvlJc w:val="left"/>
      <w:pPr>
        <w:ind w:left="2880" w:hanging="360"/>
      </w:pPr>
    </w:lvl>
    <w:lvl w:ilvl="4" w:tplc="92865100" w:tentative="1">
      <w:start w:val="1"/>
      <w:numFmt w:val="lowerLetter"/>
      <w:lvlText w:val="%5."/>
      <w:lvlJc w:val="left"/>
      <w:pPr>
        <w:ind w:left="3600" w:hanging="360"/>
      </w:pPr>
    </w:lvl>
    <w:lvl w:ilvl="5" w:tplc="92865100" w:tentative="1">
      <w:start w:val="1"/>
      <w:numFmt w:val="lowerRoman"/>
      <w:lvlText w:val="%6."/>
      <w:lvlJc w:val="right"/>
      <w:pPr>
        <w:ind w:left="4320" w:hanging="180"/>
      </w:pPr>
    </w:lvl>
    <w:lvl w:ilvl="6" w:tplc="92865100" w:tentative="1">
      <w:start w:val="1"/>
      <w:numFmt w:val="decimal"/>
      <w:lvlText w:val="%7."/>
      <w:lvlJc w:val="left"/>
      <w:pPr>
        <w:ind w:left="5040" w:hanging="360"/>
      </w:pPr>
    </w:lvl>
    <w:lvl w:ilvl="7" w:tplc="92865100" w:tentative="1">
      <w:start w:val="1"/>
      <w:numFmt w:val="lowerLetter"/>
      <w:lvlText w:val="%8."/>
      <w:lvlJc w:val="left"/>
      <w:pPr>
        <w:ind w:left="5760" w:hanging="360"/>
      </w:pPr>
    </w:lvl>
    <w:lvl w:ilvl="8" w:tplc="92865100" w:tentative="1">
      <w:start w:val="1"/>
      <w:numFmt w:val="lowerRoman"/>
      <w:lvlText w:val="%9."/>
      <w:lvlJc w:val="right"/>
      <w:pPr>
        <w:ind w:left="6480" w:hanging="180"/>
      </w:pPr>
    </w:lvl>
  </w:abstractNum>
  <w:abstractNum w:abstractNumId="99363320">
    <w:multiLevelType w:val="hybridMultilevel"/>
    <w:lvl w:ilvl="0" w:tplc="679901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363320">
    <w:abstractNumId w:val="99363320"/>
  </w:num>
  <w:num w:numId="99363321">
    <w:abstractNumId w:val="993633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6700022" Type="http://schemas.microsoft.com/office/2011/relationships/commentsExtended" Target="commentsExtended.xml"/><Relationship Id="rId71316a8d0bdc791cc"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