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276a405e290cc22" w:history="1">
        <w:r>
          <w:rPr>
            <w:color w:val="0200C9"/>
            <w:sz w:val="24"/>
            <w:szCs w:val="24"/>
          </w:rPr>
          <w:t xml:space="preserve">https://gd.eppo.int/</w:t>
        </w:r>
      </w:hyperlink>
      <w:r>
        <w:rPr>
          <w:color w:val="0200C9"/>
          <w:sz w:val="24"/>
          <w:szCs w:val="24"/>
        </w:rPr>
        <w:t xml:space="preserve">). The report of a Pest Risk Analysis for Citrus exocortis viroid (EPPO, 2016), mainly based on EFSA PRA for solanaceous pospiviroids, lists the Countries where this pest is present: Austria, Belgium, Cyprus, Czech Republic, France, Germany, Greece, Italy, Montenegro, the Netherlands, Portugal, Russian Federation, Serbia, Slovenia, Spain and Turkey.</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by extrapolation from other pospiviroids for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mother plants at the site of production since the beginning of the last complete cycle of vegetation, or if symptoms have been seen, then the symptomatic plants have been tested and found free from Citrus exocortis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989507">
    <w:multiLevelType w:val="hybridMultilevel"/>
    <w:lvl w:ilvl="0" w:tplc="84081346">
      <w:start w:val="1"/>
      <w:numFmt w:val="decimal"/>
      <w:lvlText w:val="%1."/>
      <w:lvlJc w:val="left"/>
      <w:pPr>
        <w:ind w:left="720" w:hanging="360"/>
      </w:pPr>
    </w:lvl>
    <w:lvl w:ilvl="1" w:tplc="84081346" w:tentative="1">
      <w:start w:val="1"/>
      <w:numFmt w:val="lowerLetter"/>
      <w:lvlText w:val="%2."/>
      <w:lvlJc w:val="left"/>
      <w:pPr>
        <w:ind w:left="1440" w:hanging="360"/>
      </w:pPr>
    </w:lvl>
    <w:lvl w:ilvl="2" w:tplc="84081346" w:tentative="1">
      <w:start w:val="1"/>
      <w:numFmt w:val="lowerRoman"/>
      <w:lvlText w:val="%3."/>
      <w:lvlJc w:val="right"/>
      <w:pPr>
        <w:ind w:left="2160" w:hanging="180"/>
      </w:pPr>
    </w:lvl>
    <w:lvl w:ilvl="3" w:tplc="84081346" w:tentative="1">
      <w:start w:val="1"/>
      <w:numFmt w:val="decimal"/>
      <w:lvlText w:val="%4."/>
      <w:lvlJc w:val="left"/>
      <w:pPr>
        <w:ind w:left="2880" w:hanging="360"/>
      </w:pPr>
    </w:lvl>
    <w:lvl w:ilvl="4" w:tplc="84081346" w:tentative="1">
      <w:start w:val="1"/>
      <w:numFmt w:val="lowerLetter"/>
      <w:lvlText w:val="%5."/>
      <w:lvlJc w:val="left"/>
      <w:pPr>
        <w:ind w:left="3600" w:hanging="360"/>
      </w:pPr>
    </w:lvl>
    <w:lvl w:ilvl="5" w:tplc="84081346" w:tentative="1">
      <w:start w:val="1"/>
      <w:numFmt w:val="lowerRoman"/>
      <w:lvlText w:val="%6."/>
      <w:lvlJc w:val="right"/>
      <w:pPr>
        <w:ind w:left="4320" w:hanging="180"/>
      </w:pPr>
    </w:lvl>
    <w:lvl w:ilvl="6" w:tplc="84081346" w:tentative="1">
      <w:start w:val="1"/>
      <w:numFmt w:val="decimal"/>
      <w:lvlText w:val="%7."/>
      <w:lvlJc w:val="left"/>
      <w:pPr>
        <w:ind w:left="5040" w:hanging="360"/>
      </w:pPr>
    </w:lvl>
    <w:lvl w:ilvl="7" w:tplc="84081346" w:tentative="1">
      <w:start w:val="1"/>
      <w:numFmt w:val="lowerLetter"/>
      <w:lvlText w:val="%8."/>
      <w:lvlJc w:val="left"/>
      <w:pPr>
        <w:ind w:left="5760" w:hanging="360"/>
      </w:pPr>
    </w:lvl>
    <w:lvl w:ilvl="8" w:tplc="84081346" w:tentative="1">
      <w:start w:val="1"/>
      <w:numFmt w:val="lowerRoman"/>
      <w:lvlText w:val="%9."/>
      <w:lvlJc w:val="right"/>
      <w:pPr>
        <w:ind w:left="6480" w:hanging="180"/>
      </w:pPr>
    </w:lvl>
  </w:abstractNum>
  <w:abstractNum w:abstractNumId="23989506">
    <w:multiLevelType w:val="hybridMultilevel"/>
    <w:lvl w:ilvl="0" w:tplc="477658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989506">
    <w:abstractNumId w:val="23989506"/>
  </w:num>
  <w:num w:numId="23989507">
    <w:abstractNumId w:val="239895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3907507" Type="http://schemas.microsoft.com/office/2011/relationships/commentsExtended" Target="commentsExtended.xml"/><Relationship Id="rId17276a405e290cc2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