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Gooseberry vein banding associated virus GOVB00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Gooseberry vein banding</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Null: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evaluated: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Vein clearing of blackcurrant, Vein net of blackcurrant and Gooseberry vein banding (on Ribes) can thus be ascribed to Gooseberry vein banding disease, a disease closely associated with Gooseberry vein banding associated virus (GVBaV) (Jones et al., 2001). However, in the Netherlands grafting experiments done with Red currant vein banding agent and Gooseberry vein banding agent (by F van der Meer, IPO Wageningen, Personal communication) demonstrated that these two agents are not identical. Experts therefore suggested giving Red Currant Vein Banding a separate denomination (as an agent).</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Ribes (1RIBG)</w:t>
      </w:r>
      <w:r>
        <w:rPr>
          <w:color w:val="000000"/>
          <w:sz w:val="24"/>
          <w:szCs w:val="24"/>
        </w:rPr>
        <w:t xml:space="preserve"> for the Fruits (including hops)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from the fruit Marketing Directive (see Terms of reference)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857662">
    <w:multiLevelType w:val="hybridMultilevel"/>
    <w:lvl w:ilvl="0" w:tplc="36761158">
      <w:start w:val="1"/>
      <w:numFmt w:val="decimal"/>
      <w:lvlText w:val="%1."/>
      <w:lvlJc w:val="left"/>
      <w:pPr>
        <w:ind w:left="720" w:hanging="360"/>
      </w:pPr>
    </w:lvl>
    <w:lvl w:ilvl="1" w:tplc="36761158" w:tentative="1">
      <w:start w:val="1"/>
      <w:numFmt w:val="lowerLetter"/>
      <w:lvlText w:val="%2."/>
      <w:lvlJc w:val="left"/>
      <w:pPr>
        <w:ind w:left="1440" w:hanging="360"/>
      </w:pPr>
    </w:lvl>
    <w:lvl w:ilvl="2" w:tplc="36761158" w:tentative="1">
      <w:start w:val="1"/>
      <w:numFmt w:val="lowerRoman"/>
      <w:lvlText w:val="%3."/>
      <w:lvlJc w:val="right"/>
      <w:pPr>
        <w:ind w:left="2160" w:hanging="180"/>
      </w:pPr>
    </w:lvl>
    <w:lvl w:ilvl="3" w:tplc="36761158" w:tentative="1">
      <w:start w:val="1"/>
      <w:numFmt w:val="decimal"/>
      <w:lvlText w:val="%4."/>
      <w:lvlJc w:val="left"/>
      <w:pPr>
        <w:ind w:left="2880" w:hanging="360"/>
      </w:pPr>
    </w:lvl>
    <w:lvl w:ilvl="4" w:tplc="36761158" w:tentative="1">
      <w:start w:val="1"/>
      <w:numFmt w:val="lowerLetter"/>
      <w:lvlText w:val="%5."/>
      <w:lvlJc w:val="left"/>
      <w:pPr>
        <w:ind w:left="3600" w:hanging="360"/>
      </w:pPr>
    </w:lvl>
    <w:lvl w:ilvl="5" w:tplc="36761158" w:tentative="1">
      <w:start w:val="1"/>
      <w:numFmt w:val="lowerRoman"/>
      <w:lvlText w:val="%6."/>
      <w:lvlJc w:val="right"/>
      <w:pPr>
        <w:ind w:left="4320" w:hanging="180"/>
      </w:pPr>
    </w:lvl>
    <w:lvl w:ilvl="6" w:tplc="36761158" w:tentative="1">
      <w:start w:val="1"/>
      <w:numFmt w:val="decimal"/>
      <w:lvlText w:val="%7."/>
      <w:lvlJc w:val="left"/>
      <w:pPr>
        <w:ind w:left="5040" w:hanging="360"/>
      </w:pPr>
    </w:lvl>
    <w:lvl w:ilvl="7" w:tplc="36761158" w:tentative="1">
      <w:start w:val="1"/>
      <w:numFmt w:val="lowerLetter"/>
      <w:lvlText w:val="%8."/>
      <w:lvlJc w:val="left"/>
      <w:pPr>
        <w:ind w:left="5760" w:hanging="360"/>
      </w:pPr>
    </w:lvl>
    <w:lvl w:ilvl="8" w:tplc="36761158" w:tentative="1">
      <w:start w:val="1"/>
      <w:numFmt w:val="lowerRoman"/>
      <w:lvlText w:val="%9."/>
      <w:lvlJc w:val="right"/>
      <w:pPr>
        <w:ind w:left="6480" w:hanging="180"/>
      </w:pPr>
    </w:lvl>
  </w:abstractNum>
  <w:abstractNum w:abstractNumId="33857661">
    <w:multiLevelType w:val="hybridMultilevel"/>
    <w:lvl w:ilvl="0" w:tplc="905611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857661">
    <w:abstractNumId w:val="33857661"/>
  </w:num>
  <w:num w:numId="33857662">
    <w:abstractNumId w:val="338576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39387753"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