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comments.xml" ContentType="application/vnd.openxmlformats-officedocument.wordprocessingml.comment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commentsExtended.xml" ContentType="application/vnd.openxmlformats-officedocument.wordprocessingml.commentsExtended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widowControl w:val="on"/>
        <w:pBdr/>
        <w:spacing w:before="0" w:after="0" w:line="240" w:lineRule="auto"/>
        <w:ind w:left="0" w:right="0"/>
        <w:jc w:val="left"/>
        <w:outlineLvl w:val="1"/>
      </w:pPr>
      <w:r>
        <w:rPr>
          <w:color w:val="000000"/>
          <w:sz w:val="24"/>
          <w:szCs w:val="24"/>
        </w:rPr>
        <w:t xml:space="preserve">NAME OF THE ORGANISM: </w:t>
      </w:r>
      <w:r>
        <w:rPr>
          <w:color w:val="861012"/>
          <w:sz w:val="24"/>
          <w:szCs w:val="24"/>
        </w:rPr>
        <w:t xml:space="preserve">Verticillium dahliae (VERTDA)</w:t>
      </w:r>
    </w:p>
    <w:p/>
    <w:p>
      <w:pPr>
        <w:widowControl w:val="on"/>
        <w:pBdr/>
        <w:spacing w:before="0" w:after="0" w:line="240" w:lineRule="auto"/>
        <w:ind w:left="0" w:right="0"/>
        <w:jc w:val="left"/>
        <w:outlineLvl w:val="3"/>
      </w:pPr>
      <w:r>
        <w:rPr>
          <w:color w:val="000000"/>
          <w:sz w:val="24"/>
          <w:szCs w:val="24"/>
        </w:rPr>
        <w:t xml:space="preserve">GENERAL INFORMATION ON THE PEST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Name as submitted in the project specification (if different to the preferred name):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Pest category: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Fungi</w:t>
      </w:r>
      <w:r>
        <w:rPr>
          <w:b/>
          <w:bCs/>
          <w:color w:val="000000"/>
          <w:sz w:val="24"/>
          <w:szCs w:val="24"/>
          <w:u w:val="single"/>
        </w:rPr>
        <w:br/>
        <w:br/>
        <w:t xml:space="preserve">1- Identity of the pest/Level of taxonomic listing:</w:t>
      </w:r>
      <w:r>
        <w:rPr>
          <w:color w:val="000000"/>
          <w:sz w:val="24"/>
          <w:szCs w:val="24"/>
          <w:u w:val="single"/>
        </w:rPr>
        <w:br/>
        <w:t xml:space="preserve">Is the organism clearly a single taxonomic entity and can it be adequately distinguished from other entities of the same rank?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Is the pest defined at the species level or lower?: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Can listing of the pest at a taxonomic level higher than species be supported by scientific reasons or can species be identified within the taxonomic rank which are the (main) pests of concern?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Not relevant: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color w:val="000000"/>
          <w:sz w:val="24"/>
          <w:szCs w:val="24"/>
          <w:u w:val="single"/>
        </w:rPr>
        <w:t xml:space="preserve">Is it justified that the pest is listed at a taxonomic rank below species level?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relevant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</w:p>
    <w:p>
      <w:pPr>
        <w:numPr>
          <w:ilvl w:val="0"/>
          <w:numId w:val="1"/>
        </w:numPr>
        <w:spacing w:before="0" w:after="0" w:line="240" w:lineRule="auto"/>
        <w:jc w:val="left"/>
        <w:rPr>
          <w:color w:val="0200C9"/>
          <w:sz w:val="24"/>
          <w:szCs w:val="24"/>
        </w:rPr>
      </w:pPr>
      <w:r>
        <w:rPr>
          <w:color w:val="0200C9"/>
          <w:sz w:val="24"/>
          <w:szCs w:val="24"/>
        </w:rPr>
        <w:t xml:space="preserve">Candidate: Fruits (including hops) sector</w:t>
      </w:r>
    </w:p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2 – Status in the EU:</w:t>
      </w:r>
      <w:r>
        <w:rPr>
          <w:color w:val="000000"/>
          <w:sz w:val="24"/>
          <w:szCs w:val="24"/>
        </w:rPr>
        <w:t xml:space="preserve">
 </w:t>
      </w:r>
      <w:r>
        <w:rPr>
          <w:color w:val="000000"/>
          <w:sz w:val="24"/>
          <w:szCs w:val="24"/>
          <w:u w:val="single"/>
        </w:rPr>
        <w:br/>
        <w:t xml:space="preserve">Is this pest already a quarantine pest for the whole EU?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Presence in the EU: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Yes</w:t>
      </w:r>
      <w:r>
        <w:rPr>
          <w:color w:val="000000"/>
          <w:sz w:val="24"/>
          <w:szCs w:val="24"/>
          <w:u w:val="single"/>
        </w:rPr>
        <w:br/>
        <w:t xml:space="preserve">List of countries (EPPO Global Database):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Austria (2014); Belgium (2015); Bulgaria (1986); Cyprus (2011); Czech Republic (2011); Denmark (1986); France (1986); Germany (2012); Greece (2013); Greece/Kriti (2013); Hungary (1986); Italy (2007); Malta (2007); Netherlands (2015); Portugal (1986); Slovakia (2012); Spain (2014); United Kingdom (2014); United Kingdom/England (1986); United Kingdom/Scotland (1986); United Kingdom/Channel Islands (1986)</w:t>
      </w:r>
      <w:r>
        <w:rPr>
          <w:color w:val="000000"/>
          <w:sz w:val="24"/>
          <w:szCs w:val="24"/>
          <w:u w:val="single"/>
        </w:rPr>
        <w:br/>
        <w:t xml:space="preserve">Conclusion:</w:t>
      </w:r>
      <w:r>
        <w:rPr>
          <w:color w:val="000000"/>
          <w:sz w:val="24"/>
          <w:szCs w:val="24"/>
        </w:rPr>
        <w:t xml:space="preserve">
</w:t>
      </w:r>
      <w:r>
        <w:rPr>
          <w:color w:val="000000"/>
          <w:sz w:val="24"/>
          <w:szCs w:val="24"/>
          <w:u w:val="single"/>
        </w:rPr>
        <w:br/>
        <w:t xml:space="preserve">Justification (if necessary):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Data of the presence of this pest on the EU territory are available in EPPO Global Database (</w:t>
      </w:r>
      <w:hyperlink r:id="rId810167f10c20d1aad" w:history="1">
        <w:r>
          <w:rPr>
            <w:color w:val="0200C9"/>
            <w:sz w:val="24"/>
            <w:szCs w:val="24"/>
          </w:rPr>
          <w:t xml:space="preserve">https://gd.eppo.int/</w:t>
        </w:r>
      </w:hyperlink>
      <w:r>
        <w:rPr>
          <w:color w:val="0200C9"/>
          <w:sz w:val="24"/>
          <w:szCs w:val="24"/>
        </w:rPr>
        <w:t xml:space="preserve">). V. dahliae is present in most EU MSs, with the exception of Ireland (absent, no pest records) and Poland (absent/uncertain). The current status of V. dahliae in the MSs where the pathogen is known to occur ranges from “restricted distribution” to “widespread” (EFSA, 2014).</w:t>
      </w:r>
    </w:p>
    <w:p>
      <w:pPr>
        <w:widowControl w:val="on"/>
        <w:pBdr/>
        <w:spacing w:before="0" w:after="0" w:line="240" w:lineRule="auto"/>
        <w:ind w:left="0" w:right="0"/>
        <w:jc w:val="left"/>
        <w:outlineLvl w:val="2"/>
      </w:pPr>
      <w:r>
        <w:rPr>
          <w:color w:val="000000"/>
          <w:sz w:val="24"/>
          <w:szCs w:val="24"/>
        </w:rPr>
        <w:t xml:space="preserve">HOST PLANT N°1: </w:t>
      </w:r>
      <w:r>
        <w:rPr>
          <w:color w:val="149613"/>
          <w:sz w:val="24"/>
          <w:szCs w:val="24"/>
        </w:rPr>
        <w:t xml:space="preserve">Prunus armeniaca (PRNAR)</w:t>
      </w:r>
      <w:r>
        <w:rPr>
          <w:color w:val="000000"/>
          <w:sz w:val="24"/>
          <w:szCs w:val="24"/>
        </w:rPr>
        <w:t xml:space="preserve"> for the Fruits (including hops) sector.</w:t>
      </w:r>
    </w:p>
    <w:p/>
    <w:p>
      <w:pPr>
        <w:widowControl w:val="on"/>
        <w:pBdr/>
        <w:spacing w:before="0" w:after="0" w:line="240" w:lineRule="auto"/>
        <w:ind w:left="0" w:right="0"/>
        <w:jc w:val="left"/>
      </w:pPr>
      <w:r>
        <w:rPr>
          <w:b/>
          <w:bCs/>
          <w:color w:val="000000"/>
          <w:sz w:val="24"/>
          <w:szCs w:val="24"/>
          <w:u w:val="single"/>
        </w:rPr>
        <w:t xml:space="preserve">CONCLUSION ON THE STATUS:</w:t>
      </w:r>
      <w:r>
        <w:rPr>
          <w:color w:val="000000"/>
          <w:sz w:val="24"/>
          <w:szCs w:val="24"/>
        </w:rPr>
        <w:t xml:space="preserve">
</w:t>
      </w:r>
      <w:r>
        <w:rPr>
          <w:color w:val="0200C9"/>
          <w:sz w:val="24"/>
          <w:szCs w:val="24"/>
        </w:rPr>
        <w:t xml:space="preserve">Not evaluated: from the fruit Marketing Directive (see Terms of reference)</w:t>
      </w:r>
    </w:p>
    <w:sectPr xmlns:w="http://schemas.openxmlformats.org/wordprocessingml/2006/main" w:rsidR="00AC197E" w:rsidRPr="00DF064E" w:rsidSect="000F6147">
      <w:pgSz w:w="11906" w:h="16838" w:orient="portrait" w:code="9"/>
      <w:pgMar w:top="10mm" w:right="10mm" w:bottom="10mm" w:left="10mm" w:header="708" w:footer="708" w:gutter="0"/>
      <w:cols w:space="708" w:num="1"/>
      <w:docGrid w:linePitch="360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/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85478382">
    <w:multiLevelType w:val="hybridMultilevel"/>
    <w:lvl w:ilvl="0" w:tplc="99530761">
      <w:start w:val="1"/>
      <w:numFmt w:val="decimal"/>
      <w:lvlText w:val="%1."/>
      <w:lvlJc w:val="left"/>
      <w:pPr>
        <w:ind w:left="720" w:hanging="360"/>
      </w:pPr>
    </w:lvl>
    <w:lvl w:ilvl="1" w:tplc="99530761" w:tentative="1">
      <w:start w:val="1"/>
      <w:numFmt w:val="lowerLetter"/>
      <w:lvlText w:val="%2."/>
      <w:lvlJc w:val="left"/>
      <w:pPr>
        <w:ind w:left="1440" w:hanging="360"/>
      </w:pPr>
    </w:lvl>
    <w:lvl w:ilvl="2" w:tplc="99530761" w:tentative="1">
      <w:start w:val="1"/>
      <w:numFmt w:val="lowerRoman"/>
      <w:lvlText w:val="%3."/>
      <w:lvlJc w:val="right"/>
      <w:pPr>
        <w:ind w:left="2160" w:hanging="180"/>
      </w:pPr>
    </w:lvl>
    <w:lvl w:ilvl="3" w:tplc="99530761" w:tentative="1">
      <w:start w:val="1"/>
      <w:numFmt w:val="decimal"/>
      <w:lvlText w:val="%4."/>
      <w:lvlJc w:val="left"/>
      <w:pPr>
        <w:ind w:left="2880" w:hanging="360"/>
      </w:pPr>
    </w:lvl>
    <w:lvl w:ilvl="4" w:tplc="99530761" w:tentative="1">
      <w:start w:val="1"/>
      <w:numFmt w:val="lowerLetter"/>
      <w:lvlText w:val="%5."/>
      <w:lvlJc w:val="left"/>
      <w:pPr>
        <w:ind w:left="3600" w:hanging="360"/>
      </w:pPr>
    </w:lvl>
    <w:lvl w:ilvl="5" w:tplc="99530761" w:tentative="1">
      <w:start w:val="1"/>
      <w:numFmt w:val="lowerRoman"/>
      <w:lvlText w:val="%6."/>
      <w:lvlJc w:val="right"/>
      <w:pPr>
        <w:ind w:left="4320" w:hanging="180"/>
      </w:pPr>
    </w:lvl>
    <w:lvl w:ilvl="6" w:tplc="99530761" w:tentative="1">
      <w:start w:val="1"/>
      <w:numFmt w:val="decimal"/>
      <w:lvlText w:val="%7."/>
      <w:lvlJc w:val="left"/>
      <w:pPr>
        <w:ind w:left="5040" w:hanging="360"/>
      </w:pPr>
    </w:lvl>
    <w:lvl w:ilvl="7" w:tplc="99530761" w:tentative="1">
      <w:start w:val="1"/>
      <w:numFmt w:val="lowerLetter"/>
      <w:lvlText w:val="%8."/>
      <w:lvlJc w:val="left"/>
      <w:pPr>
        <w:ind w:left="5760" w:hanging="360"/>
      </w:pPr>
    </w:lvl>
    <w:lvl w:ilvl="8" w:tplc="99530761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478381">
    <w:multiLevelType w:val="hybridMultilevel"/>
    <w:lvl w:ilvl="0" w:tplc="58016075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85478381">
    <w:abstractNumId w:val="85478381"/>
  </w:num>
  <w:num w:numId="85478382">
    <w:abstractNumId w:val="8547838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Normal Table PHPDOCX" w:semiHidden="0" w:uiPriority="58" w:unhideWhenUsed="0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PlainTablePHPDOCX">
    <w:name w:val="Plain Table PHPDOCX"/>
    <w:uiPriority w:val="58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comments" Target="comments.xml"/><Relationship Id="rId434563805" Type="http://schemas.microsoft.com/office/2011/relationships/commentsExtended" Target="commentsExtended.xml"/><Relationship Id="rId810167f10c20d1aad" Type="http://schemas.openxmlformats.org/officeDocument/2006/relationships/hyperlink" Target="https://gd.eppo.int/" TargetMode="External"/></Relationships>
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PHPDocX</dc:creator>
  <cp:keywords/>
  <dc:description/>
  <cp:lastModifiedBy>PHPDocX</cp:lastModifiedBy>
  <cp:revision>6</cp:revision>
  <dcterms:created xsi:type="dcterms:W3CDTF">2012-01-10T09:29:00Z</dcterms:created>
  <dcterms:modified xsi:type="dcterms:W3CDTF">2012-02-06T10:43:00Z</dcterms:modified>
</cp:coreProperties>
</file>