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Potato spindle tuber viroid PSTVD0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Yes</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(2011); Croatia (2014); Czech Republic (2014); Germany (2011); Italy (2011); Malta (2013); Poland (2016); Slovenia (2013);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7606a32a61ce0e8d" w:history="1">
        <w:r>
          <w:rPr>
            <w:color w:val="0200C9"/>
            <w:sz w:val="24"/>
            <w:szCs w:val="24"/>
          </w:rPr>
          <w:t xml:space="preserve">https://gd.eppo.int/</w:t>
        </w:r>
      </w:hyperlink>
      <w:r>
        <w:rPr>
          <w:color w:val="0200C9"/>
          <w:sz w:val="24"/>
          <w:szCs w:val="24"/>
        </w:rPr>
        <w:t xml:space="preserve">).</w:t>
      </w:r>
      <w:r>
        <w:rPr>
          <w:color w:val="0200C9"/>
          <w:sz w:val="24"/>
          <w:szCs w:val="24"/>
        </w:rPr>
        <w:br/>
        <w:t xml:space="preserve">This pest is considered to be already a quarantine pest for the whole EU (annex IA1 of the directive 2000/29/EC). However, in view of its presence in the EU (see data of the presence of this pest on the EU territory available in EPPO Global Database: </w:t>
      </w:r>
      <w:hyperlink r:id="rId88396a32a61ce0eb7" w:history="1">
        <w:r>
          <w:rPr>
            <w:color w:val="0200C9"/>
            <w:sz w:val="24"/>
            <w:szCs w:val="24"/>
          </w:rPr>
          <w:t xml:space="preserve">https://gd.eppo.int/</w:t>
        </w:r>
      </w:hyperlink>
      <w:r>
        <w:rPr>
          <w:color w:val="0200C9"/>
          <w:sz w:val="24"/>
          <w:szCs w:val="24"/>
        </w:rPr>
        <w:t xml:space="preserve">), classification within the directive should be revised. This pest is not evaluated in the context of the EU RNQP Project but because it was submitted for evaluation by the Working Party on Phytosanitary Regulation (WPPR, 2016). As a consequence, evaluation continues.</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Although PSTVd in Capsicum annum seed has not been reported, a high probability rating of this is suggested by analogy, but this rating is associated with a high uncertainty (EFSA-PLH, 2011). However, if present, any infection arising from seed will likely spread rapidly to neighbouring susceptible plant species by mechanical means in the nursery (EFSA-PLH, 2011). Therefore young plants as plants for planting (arising from infected seed, or mechanical means from other hosts), can be considered a main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PSTVd has been recorded in three pepper crops in New Zealand. The infected pepper plants displayed only very mild symptoms (i.e. a certain “waviness” or distortion of the leaf margins near the top of the plants). However, after artificial (mechanical) inoculation of PSTVd to pepper cv. Yolo Wonder, fruit size was significantly reduced. It was concluded (in the absence of other pospiviroids) that PSTVd has the potential to cause minor damage in pepper (EFSA, 2011). Peppers may be grown on premises growing other susceptible crops such as tomato, so could act as a source of transmission during the growing season.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infected pepper plants displayed only very mild symptoms (i.e. a certain “waviness” or distortion of the leaf margins near the top of the plants). However, after artificial (mechanical) inoculation of PSTVd to pepper cv. Yolo Wonder, fruit size was significantly reduced. It was concluded (in the absence of other pospiviroids) that PSTVd has the potential to cause minor damage in pepper (EFSA-PLH, 2011). Peppers may be grown on premises growing other susceptible crops such as tomato and potato, so could act as a source of transmission during the growing season.</w:t>
      </w:r>
      <w:r>
        <w:rPr>
          <w:color w:val="0200C9"/>
          <w:sz w:val="24"/>
          <w:szCs w:val="24"/>
        </w:rPr>
        <w:br/>
        <w:t xml:space="preserve">Remark: there may be financial losses due to the costs of testing for and removing asymptomatic infected plants and these costs can be considerable. For example, In the Netherlands in 2006-2007 ornamental plants infected with PSTVd were traced (costing the government 700,000 Euros) and destroyed (costing industry 3 to 5 million Euros). The plants did not show any noticeable symptoms, but were destroyed to prevent infection spreading to tomato and potato crops.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Since tomato pospiviroid infections result in variable symptoms, requirements for using plant propagation material (including seeds) that is certified as free from pospiviroids, based on surveillance and targeted tests, should be an effective measures. This position is reinforced by the situation observed on PSTVd: the official measures significantly reduced the overall level of PSTVd circulating within the EU territory, and the incidence of this pathogen. However it is not possible to conclude whether the reduction in PSTVd prevalence in ornamentals has led to a reduction of outbreaks in potato, tomato and pepper productions.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This pest would qualify for RNQP status if it were to be deregulated as a quarantine pest, but the SEWG makes no recommendation on the removal of the quarantine pest status. Moreover an alternative to the listing under the RNQP Status could be to recommend, in the risk management measures for tomato, isolation from other potential sources of infection, including other infected host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MAF (2012) Import Risk Analysis: Tomato and Capsicum seed for sowing from all countries. Ministry of Agriculture and Forestry of New-Zealand, Information Bureau. Available at: </w:t>
      </w:r>
      <w:hyperlink r:id="rId92756a32a61ce12fe" w:history="1">
        <w:r>
          <w:rPr>
            <w:color w:val="0200C9"/>
            <w:sz w:val="24"/>
            <w:szCs w:val="24"/>
          </w:rPr>
          <w:t xml:space="preserve">http://www.mpi.govt.nz/document-vault/2887</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294204">
    <w:multiLevelType w:val="hybridMultilevel"/>
    <w:lvl w:ilvl="0" w:tplc="93888971">
      <w:start w:val="1"/>
      <w:numFmt w:val="decimal"/>
      <w:lvlText w:val="%1."/>
      <w:lvlJc w:val="left"/>
      <w:pPr>
        <w:ind w:left="720" w:hanging="360"/>
      </w:pPr>
    </w:lvl>
    <w:lvl w:ilvl="1" w:tplc="93888971" w:tentative="1">
      <w:start w:val="1"/>
      <w:numFmt w:val="lowerLetter"/>
      <w:lvlText w:val="%2."/>
      <w:lvlJc w:val="left"/>
      <w:pPr>
        <w:ind w:left="1440" w:hanging="360"/>
      </w:pPr>
    </w:lvl>
    <w:lvl w:ilvl="2" w:tplc="93888971" w:tentative="1">
      <w:start w:val="1"/>
      <w:numFmt w:val="lowerRoman"/>
      <w:lvlText w:val="%3."/>
      <w:lvlJc w:val="right"/>
      <w:pPr>
        <w:ind w:left="2160" w:hanging="180"/>
      </w:pPr>
    </w:lvl>
    <w:lvl w:ilvl="3" w:tplc="93888971" w:tentative="1">
      <w:start w:val="1"/>
      <w:numFmt w:val="decimal"/>
      <w:lvlText w:val="%4."/>
      <w:lvlJc w:val="left"/>
      <w:pPr>
        <w:ind w:left="2880" w:hanging="360"/>
      </w:pPr>
    </w:lvl>
    <w:lvl w:ilvl="4" w:tplc="93888971" w:tentative="1">
      <w:start w:val="1"/>
      <w:numFmt w:val="lowerLetter"/>
      <w:lvlText w:val="%5."/>
      <w:lvlJc w:val="left"/>
      <w:pPr>
        <w:ind w:left="3600" w:hanging="360"/>
      </w:pPr>
    </w:lvl>
    <w:lvl w:ilvl="5" w:tplc="93888971" w:tentative="1">
      <w:start w:val="1"/>
      <w:numFmt w:val="lowerRoman"/>
      <w:lvlText w:val="%6."/>
      <w:lvlJc w:val="right"/>
      <w:pPr>
        <w:ind w:left="4320" w:hanging="180"/>
      </w:pPr>
    </w:lvl>
    <w:lvl w:ilvl="6" w:tplc="93888971" w:tentative="1">
      <w:start w:val="1"/>
      <w:numFmt w:val="decimal"/>
      <w:lvlText w:val="%7."/>
      <w:lvlJc w:val="left"/>
      <w:pPr>
        <w:ind w:left="5040" w:hanging="360"/>
      </w:pPr>
    </w:lvl>
    <w:lvl w:ilvl="7" w:tplc="93888971" w:tentative="1">
      <w:start w:val="1"/>
      <w:numFmt w:val="lowerLetter"/>
      <w:lvlText w:val="%8."/>
      <w:lvlJc w:val="left"/>
      <w:pPr>
        <w:ind w:left="5760" w:hanging="360"/>
      </w:pPr>
    </w:lvl>
    <w:lvl w:ilvl="8" w:tplc="93888971" w:tentative="1">
      <w:start w:val="1"/>
      <w:numFmt w:val="lowerRoman"/>
      <w:lvlText w:val="%9."/>
      <w:lvlJc w:val="right"/>
      <w:pPr>
        <w:ind w:left="6480" w:hanging="180"/>
      </w:pPr>
    </w:lvl>
  </w:abstractNum>
  <w:abstractNum w:abstractNumId="73294203">
    <w:multiLevelType w:val="hybridMultilevel"/>
    <w:lvl w:ilvl="0" w:tplc="963194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294203">
    <w:abstractNumId w:val="73294203"/>
  </w:num>
  <w:num w:numId="73294204">
    <w:abstractNumId w:val="7329420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6045716" Type="http://schemas.microsoft.com/office/2011/relationships/commentsExtended" Target="commentsExtended.xml"/><Relationship Id="rId97606a32a61ce0e8d" Type="http://schemas.openxmlformats.org/officeDocument/2006/relationships/hyperlink" Target="https://gd.eppo.int/" TargetMode="External"/><Relationship Id="rId88396a32a61ce0eb7" Type="http://schemas.openxmlformats.org/officeDocument/2006/relationships/hyperlink" Target="https://gd.eppo.int/" TargetMode="External"/><Relationship Id="rId92756a32a61ce12fe" Type="http://schemas.openxmlformats.org/officeDocument/2006/relationships/hyperlink" Target="http://www.mpi.govt.nz/document-vault/28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